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787F" w14:textId="3A0873A7" w:rsidR="00D2001B" w:rsidRPr="008A7301" w:rsidRDefault="00D2001B" w:rsidP="00D2001B">
      <w:pPr>
        <w:spacing w:after="200"/>
        <w:rPr>
          <w:rFonts w:eastAsiaTheme="majorEastAsia" w:cs="Arial"/>
          <w:b/>
          <w:bCs/>
          <w:sz w:val="24"/>
          <w:szCs w:val="24"/>
        </w:rPr>
      </w:pPr>
      <w:r>
        <w:rPr>
          <w:rFonts w:eastAsiaTheme="majorEastAsia" w:cs="Arial"/>
          <w:b/>
          <w:bCs/>
          <w:sz w:val="24"/>
          <w:szCs w:val="24"/>
        </w:rPr>
        <w:t xml:space="preserve">Leeds District Priorities </w:t>
      </w:r>
      <w:r w:rsidR="008A7301">
        <w:rPr>
          <w:rFonts w:eastAsiaTheme="majorEastAsia" w:cs="Arial"/>
          <w:b/>
          <w:bCs/>
          <w:sz w:val="24"/>
          <w:szCs w:val="24"/>
        </w:rPr>
        <w:t xml:space="preserve">22/23 </w:t>
      </w:r>
    </w:p>
    <w:tbl>
      <w:tblPr>
        <w:tblStyle w:val="TableGrid"/>
        <w:tblpPr w:leftFromText="180" w:rightFromText="180" w:horzAnchor="margin" w:tblpX="-724" w:tblpY="720"/>
        <w:tblW w:w="14454" w:type="dxa"/>
        <w:tblLook w:val="04A0" w:firstRow="1" w:lastRow="0" w:firstColumn="1" w:lastColumn="0" w:noHBand="0" w:noVBand="1"/>
      </w:tblPr>
      <w:tblGrid>
        <w:gridCol w:w="2689"/>
        <w:gridCol w:w="11765"/>
      </w:tblGrid>
      <w:tr w:rsidR="008A7301" w:rsidRPr="008A7301" w14:paraId="69BC1570" w14:textId="77777777" w:rsidTr="008A7301">
        <w:trPr>
          <w:trHeight w:val="627"/>
        </w:trPr>
        <w:tc>
          <w:tcPr>
            <w:tcW w:w="2689" w:type="dxa"/>
            <w:vMerge w:val="restart"/>
            <w:vAlign w:val="center"/>
          </w:tcPr>
          <w:p w14:paraId="6EB3A894" w14:textId="77777777" w:rsidR="008A7301" w:rsidRPr="008A7301" w:rsidRDefault="008A7301" w:rsidP="000E1ADA">
            <w:pPr>
              <w:rPr>
                <w:rFonts w:cs="Arial"/>
              </w:rPr>
            </w:pPr>
            <w:bookmarkStart w:id="0" w:name="_Hlk97921428"/>
            <w:r w:rsidRPr="008A7301">
              <w:rPr>
                <w:rFonts w:cs="Arial"/>
                <w:noProof/>
              </w:rPr>
              <w:drawing>
                <wp:anchor distT="0" distB="0" distL="114300" distR="114300" simplePos="0" relativeHeight="251687936" behindDoc="1" locked="0" layoutInCell="1" allowOverlap="1" wp14:anchorId="7563BA25" wp14:editId="0DE90D9D">
                  <wp:simplePos x="0" y="0"/>
                  <wp:positionH relativeFrom="column">
                    <wp:posOffset>-52705</wp:posOffset>
                  </wp:positionH>
                  <wp:positionV relativeFrom="paragraph">
                    <wp:posOffset>-566420</wp:posOffset>
                  </wp:positionV>
                  <wp:extent cx="1657350" cy="1612265"/>
                  <wp:effectExtent l="0" t="0" r="0" b="698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4">
                            <a:alphaModFix amt="10000"/>
                            <a:extLst>
                              <a:ext uri="{28A0092B-C50C-407E-A947-70E740481C1C}">
                                <a14:useLocalDpi xmlns:a14="http://schemas.microsoft.com/office/drawing/2010/main" val="0"/>
                              </a:ext>
                            </a:extLst>
                          </a:blip>
                          <a:srcRect/>
                          <a:stretch>
                            <a:fillRect/>
                          </a:stretch>
                        </pic:blipFill>
                        <pic:spPr bwMode="auto">
                          <a:xfrm>
                            <a:off x="0" y="0"/>
                            <a:ext cx="1657350" cy="1612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301">
              <w:rPr>
                <w:rFonts w:cs="Arial"/>
              </w:rPr>
              <w:t>We will reduce the risks to the communities of West Yorkshire</w:t>
            </w:r>
            <w:r w:rsidRPr="008A7301">
              <w:rPr>
                <w:rFonts w:cs="Arial"/>
                <w:noProof/>
              </w:rPr>
              <w:t xml:space="preserve"> </w:t>
            </w:r>
          </w:p>
        </w:tc>
        <w:tc>
          <w:tcPr>
            <w:tcW w:w="11765" w:type="dxa"/>
            <w:vAlign w:val="center"/>
          </w:tcPr>
          <w:p w14:paraId="7D572D1F" w14:textId="77777777" w:rsidR="008A7301" w:rsidRPr="008A7301" w:rsidRDefault="008A7301" w:rsidP="000E1ADA">
            <w:pPr>
              <w:rPr>
                <w:rFonts w:cs="Arial"/>
              </w:rPr>
            </w:pPr>
            <w:r w:rsidRPr="008A7301">
              <w:rPr>
                <w:rFonts w:cs="Arial"/>
              </w:rPr>
              <w:t>We will continue to deliver the Safer Communities Prevention Strategy.</w:t>
            </w:r>
          </w:p>
        </w:tc>
      </w:tr>
      <w:tr w:rsidR="008A7301" w:rsidRPr="008A7301" w14:paraId="02823563" w14:textId="77777777" w:rsidTr="008A7301">
        <w:trPr>
          <w:trHeight w:val="735"/>
        </w:trPr>
        <w:tc>
          <w:tcPr>
            <w:tcW w:w="2689" w:type="dxa"/>
            <w:vMerge/>
            <w:vAlign w:val="center"/>
          </w:tcPr>
          <w:p w14:paraId="6F8F5B47" w14:textId="77777777" w:rsidR="008A7301" w:rsidRPr="008A7301" w:rsidRDefault="008A7301" w:rsidP="000E1ADA">
            <w:pPr>
              <w:rPr>
                <w:rFonts w:cs="Arial"/>
                <w:noProof/>
              </w:rPr>
            </w:pPr>
          </w:p>
        </w:tc>
        <w:tc>
          <w:tcPr>
            <w:tcW w:w="11765" w:type="dxa"/>
            <w:vAlign w:val="center"/>
          </w:tcPr>
          <w:p w14:paraId="69AD9AB7" w14:textId="77777777" w:rsidR="008A7301" w:rsidRPr="008A7301" w:rsidRDefault="008A7301" w:rsidP="000E1ADA">
            <w:pPr>
              <w:rPr>
                <w:rFonts w:cs="Arial"/>
              </w:rPr>
            </w:pPr>
            <w:r w:rsidRPr="008A7301">
              <w:rPr>
                <w:rFonts w:cs="Arial"/>
              </w:rPr>
              <w:t>Actively engage with the community and partners to identify risk, reduce vulnerability, and support those most in need.</w:t>
            </w:r>
          </w:p>
        </w:tc>
      </w:tr>
      <w:tr w:rsidR="008A7301" w:rsidRPr="008A7301" w14:paraId="57493C4E" w14:textId="77777777" w:rsidTr="008A7301">
        <w:trPr>
          <w:trHeight w:val="510"/>
        </w:trPr>
        <w:tc>
          <w:tcPr>
            <w:tcW w:w="2689" w:type="dxa"/>
            <w:vMerge/>
            <w:vAlign w:val="center"/>
          </w:tcPr>
          <w:p w14:paraId="5846DAC6" w14:textId="77777777" w:rsidR="008A7301" w:rsidRPr="008A7301" w:rsidRDefault="008A7301" w:rsidP="000E1ADA">
            <w:pPr>
              <w:rPr>
                <w:rFonts w:cs="Arial"/>
                <w:noProof/>
              </w:rPr>
            </w:pPr>
          </w:p>
        </w:tc>
        <w:tc>
          <w:tcPr>
            <w:tcW w:w="11765" w:type="dxa"/>
            <w:vAlign w:val="center"/>
          </w:tcPr>
          <w:p w14:paraId="3143C688" w14:textId="24E90021" w:rsidR="008A7301" w:rsidRPr="008A7301" w:rsidRDefault="008A7301" w:rsidP="000E1ADA">
            <w:pPr>
              <w:rPr>
                <w:rFonts w:cs="Arial"/>
              </w:rPr>
            </w:pPr>
            <w:r w:rsidRPr="008A7301">
              <w:rPr>
                <w:rFonts w:cs="Arial"/>
              </w:rPr>
              <w:t>Maintain a close working relationship with Safer Leeds and Housing Leeds.</w:t>
            </w:r>
          </w:p>
        </w:tc>
      </w:tr>
      <w:tr w:rsidR="008A7301" w:rsidRPr="008A7301" w14:paraId="7FB32556" w14:textId="77777777" w:rsidTr="008A7301">
        <w:trPr>
          <w:trHeight w:val="510"/>
        </w:trPr>
        <w:tc>
          <w:tcPr>
            <w:tcW w:w="2689" w:type="dxa"/>
            <w:vMerge/>
            <w:vAlign w:val="center"/>
          </w:tcPr>
          <w:p w14:paraId="2F9B6ED4" w14:textId="77777777" w:rsidR="008A7301" w:rsidRPr="008A7301" w:rsidRDefault="008A7301" w:rsidP="000E1ADA">
            <w:pPr>
              <w:rPr>
                <w:rFonts w:cs="Arial"/>
                <w:noProof/>
              </w:rPr>
            </w:pPr>
          </w:p>
        </w:tc>
        <w:tc>
          <w:tcPr>
            <w:tcW w:w="11765" w:type="dxa"/>
            <w:vAlign w:val="center"/>
          </w:tcPr>
          <w:p w14:paraId="78F78378" w14:textId="27364F33" w:rsidR="008A7301" w:rsidRPr="008A7301" w:rsidRDefault="008A7301" w:rsidP="000E1ADA">
            <w:pPr>
              <w:rPr>
                <w:rFonts w:cs="Arial"/>
              </w:rPr>
            </w:pPr>
            <w:r w:rsidRPr="008A7301">
              <w:rPr>
                <w:rFonts w:cs="Arial"/>
              </w:rPr>
              <w:t>Learn from Serious Incident Reviews (SIRs) and lead in the development of improved Service Delivery.</w:t>
            </w:r>
          </w:p>
        </w:tc>
      </w:tr>
      <w:tr w:rsidR="008A7301" w:rsidRPr="008A7301" w14:paraId="669EC089" w14:textId="77777777" w:rsidTr="008A7301">
        <w:trPr>
          <w:trHeight w:val="800"/>
        </w:trPr>
        <w:tc>
          <w:tcPr>
            <w:tcW w:w="2689" w:type="dxa"/>
            <w:vMerge/>
            <w:vAlign w:val="center"/>
          </w:tcPr>
          <w:p w14:paraId="77FCEE3A" w14:textId="77777777" w:rsidR="008A7301" w:rsidRPr="008A7301" w:rsidRDefault="008A7301" w:rsidP="000E1ADA">
            <w:pPr>
              <w:rPr>
                <w:rFonts w:cs="Arial"/>
                <w:noProof/>
              </w:rPr>
            </w:pPr>
          </w:p>
        </w:tc>
        <w:tc>
          <w:tcPr>
            <w:tcW w:w="11765" w:type="dxa"/>
            <w:vAlign w:val="center"/>
          </w:tcPr>
          <w:p w14:paraId="3D4C28D9" w14:textId="4B0D381B" w:rsidR="008A7301" w:rsidRPr="008A7301" w:rsidRDefault="008A7301" w:rsidP="000E1ADA">
            <w:pPr>
              <w:rPr>
                <w:rFonts w:cs="Arial"/>
              </w:rPr>
            </w:pPr>
            <w:r w:rsidRPr="008A7301">
              <w:rPr>
                <w:rFonts w:cs="Arial"/>
              </w:rPr>
              <w:t>We will continue to contribute and support the Contest strategy, particularly around the Prevent, Protect, and Prepare, incorporating Public Accessible Location legislation and Leeds City evacuation plans.</w:t>
            </w:r>
          </w:p>
        </w:tc>
      </w:tr>
      <w:bookmarkEnd w:id="0"/>
    </w:tbl>
    <w:p w14:paraId="3EE5282C" w14:textId="77777777" w:rsidR="00D2001B" w:rsidRPr="008A7301" w:rsidRDefault="00D2001B" w:rsidP="00D2001B">
      <w:pPr>
        <w:spacing w:after="200"/>
        <w:rPr>
          <w:rFonts w:eastAsiaTheme="majorEastAsia" w:cs="Arial"/>
          <w:b/>
          <w:bCs/>
          <w:sz w:val="24"/>
          <w:szCs w:val="24"/>
        </w:rPr>
      </w:pPr>
    </w:p>
    <w:p w14:paraId="7842EBE2" w14:textId="77777777" w:rsidR="00D2001B" w:rsidRPr="008A7301" w:rsidRDefault="00D2001B" w:rsidP="00D2001B">
      <w:pPr>
        <w:spacing w:after="200" w:line="23" w:lineRule="auto"/>
        <w:rPr>
          <w:rFonts w:eastAsiaTheme="majorEastAsia" w:cs="Arial"/>
          <w:b/>
          <w:bCs/>
          <w:sz w:val="24"/>
          <w:szCs w:val="24"/>
        </w:rPr>
      </w:pPr>
      <w:r w:rsidRPr="008A7301">
        <w:rPr>
          <w:rFonts w:eastAsiaTheme="majorEastAsia" w:cs="Arial"/>
          <w:b/>
          <w:bCs/>
          <w:sz w:val="24"/>
          <w:szCs w:val="24"/>
        </w:rPr>
        <w:br w:type="page"/>
      </w:r>
    </w:p>
    <w:tbl>
      <w:tblPr>
        <w:tblStyle w:val="TableGrid"/>
        <w:tblpPr w:leftFromText="180" w:rightFromText="180" w:horzAnchor="margin" w:tblpX="-724" w:tblpY="720"/>
        <w:tblW w:w="14737" w:type="dxa"/>
        <w:tblLook w:val="04A0" w:firstRow="1" w:lastRow="0" w:firstColumn="1" w:lastColumn="0" w:noHBand="0" w:noVBand="1"/>
      </w:tblPr>
      <w:tblGrid>
        <w:gridCol w:w="2689"/>
        <w:gridCol w:w="12048"/>
      </w:tblGrid>
      <w:tr w:rsidR="008A7301" w:rsidRPr="008A7301" w14:paraId="0DA32505" w14:textId="77777777" w:rsidTr="008A7301">
        <w:trPr>
          <w:trHeight w:val="1266"/>
        </w:trPr>
        <w:tc>
          <w:tcPr>
            <w:tcW w:w="2689" w:type="dxa"/>
            <w:vMerge w:val="restart"/>
            <w:vAlign w:val="center"/>
          </w:tcPr>
          <w:p w14:paraId="3A603D61" w14:textId="77777777" w:rsidR="008A7301" w:rsidRPr="008A7301" w:rsidRDefault="008A7301" w:rsidP="00EA2589">
            <w:pPr>
              <w:rPr>
                <w:rFonts w:cs="Arial"/>
              </w:rPr>
            </w:pPr>
            <w:r w:rsidRPr="008A7301">
              <w:rPr>
                <w:rFonts w:cs="Arial"/>
                <w:noProof/>
              </w:rPr>
              <w:lastRenderedPageBreak/>
              <w:drawing>
                <wp:anchor distT="0" distB="0" distL="114300" distR="114300" simplePos="0" relativeHeight="251689984" behindDoc="1" locked="0" layoutInCell="1" allowOverlap="1" wp14:anchorId="40BBF05D" wp14:editId="0500FFB3">
                  <wp:simplePos x="0" y="0"/>
                  <wp:positionH relativeFrom="column">
                    <wp:posOffset>-51435</wp:posOffset>
                  </wp:positionH>
                  <wp:positionV relativeFrom="paragraph">
                    <wp:posOffset>-271145</wp:posOffset>
                  </wp:positionV>
                  <wp:extent cx="1657350"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alphaModFix amt="10000"/>
                            <a:extLst>
                              <a:ext uri="{28A0092B-C50C-407E-A947-70E740481C1C}">
                                <a14:useLocalDpi xmlns:a14="http://schemas.microsoft.com/office/drawing/2010/main" val="0"/>
                              </a:ext>
                            </a:extLst>
                          </a:blip>
                          <a:srcRect/>
                          <a:stretch>
                            <a:fillRect/>
                          </a:stretch>
                        </pic:blipFill>
                        <pic:spPr bwMode="auto">
                          <a:xfrm>
                            <a:off x="0" y="0"/>
                            <a:ext cx="165735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301">
              <w:rPr>
                <w:rFonts w:cs="Arial"/>
              </w:rPr>
              <w:t>We will continue to develop ways of working which improve the safety &amp;effectiveness of our firefighters</w:t>
            </w:r>
            <w:r w:rsidRPr="008A7301">
              <w:rPr>
                <w:rFonts w:cs="Arial"/>
                <w:noProof/>
              </w:rPr>
              <w:t xml:space="preserve"> </w:t>
            </w:r>
          </w:p>
        </w:tc>
        <w:tc>
          <w:tcPr>
            <w:tcW w:w="12048" w:type="dxa"/>
            <w:vAlign w:val="center"/>
          </w:tcPr>
          <w:p w14:paraId="191F8AE2" w14:textId="0351A8B2" w:rsidR="008A7301" w:rsidRPr="008A7301" w:rsidRDefault="008A7301" w:rsidP="00EA2589">
            <w:pPr>
              <w:rPr>
                <w:rFonts w:cs="Arial"/>
              </w:rPr>
            </w:pPr>
            <w:r w:rsidRPr="008A7301">
              <w:rPr>
                <w:rFonts w:cs="Arial"/>
              </w:rPr>
              <w:t>Through our Station Assurance process, we will undertake training and exercises to ensure a safe response to foreseeable risk.</w:t>
            </w:r>
          </w:p>
        </w:tc>
      </w:tr>
      <w:tr w:rsidR="008A7301" w:rsidRPr="008A7301" w14:paraId="77D0D2D5" w14:textId="77777777" w:rsidTr="008A7301">
        <w:trPr>
          <w:trHeight w:val="465"/>
        </w:trPr>
        <w:tc>
          <w:tcPr>
            <w:tcW w:w="2689" w:type="dxa"/>
            <w:vMerge/>
            <w:vAlign w:val="center"/>
          </w:tcPr>
          <w:p w14:paraId="46CFF3BA" w14:textId="77777777" w:rsidR="008A7301" w:rsidRPr="008A7301" w:rsidRDefault="008A7301" w:rsidP="00EA2589">
            <w:pPr>
              <w:rPr>
                <w:rFonts w:cs="Arial"/>
                <w:noProof/>
              </w:rPr>
            </w:pPr>
          </w:p>
        </w:tc>
        <w:tc>
          <w:tcPr>
            <w:tcW w:w="12048" w:type="dxa"/>
            <w:vAlign w:val="center"/>
          </w:tcPr>
          <w:p w14:paraId="32C60847" w14:textId="264311E8" w:rsidR="008A7301" w:rsidRPr="008A7301" w:rsidRDefault="008A7301" w:rsidP="00EA2589">
            <w:pPr>
              <w:rPr>
                <w:rFonts w:cs="Arial"/>
              </w:rPr>
            </w:pPr>
            <w:r w:rsidRPr="008A7301">
              <w:rPr>
                <w:rFonts w:cs="Arial"/>
              </w:rPr>
              <w:t xml:space="preserve">We will maintain a focus on maintaining professional standards and staff competencies throughout Leeds District, incorporating bespoke training sites and facilities. </w:t>
            </w:r>
          </w:p>
        </w:tc>
      </w:tr>
      <w:tr w:rsidR="008A7301" w:rsidRPr="008A7301" w14:paraId="546D3D03" w14:textId="77777777" w:rsidTr="008A7301">
        <w:trPr>
          <w:trHeight w:val="751"/>
        </w:trPr>
        <w:tc>
          <w:tcPr>
            <w:tcW w:w="2689" w:type="dxa"/>
            <w:vMerge/>
            <w:vAlign w:val="center"/>
          </w:tcPr>
          <w:p w14:paraId="21352B18" w14:textId="77777777" w:rsidR="008A7301" w:rsidRPr="008A7301" w:rsidRDefault="008A7301" w:rsidP="00EA2589">
            <w:pPr>
              <w:rPr>
                <w:rFonts w:cs="Arial"/>
                <w:noProof/>
              </w:rPr>
            </w:pPr>
          </w:p>
        </w:tc>
        <w:tc>
          <w:tcPr>
            <w:tcW w:w="12048" w:type="dxa"/>
            <w:vAlign w:val="center"/>
          </w:tcPr>
          <w:p w14:paraId="0FC2F8FC" w14:textId="6D0C390F" w:rsidR="008A7301" w:rsidRPr="008A7301" w:rsidRDefault="008A7301" w:rsidP="00EA2589">
            <w:pPr>
              <w:rPr>
                <w:rFonts w:cs="Arial"/>
              </w:rPr>
            </w:pPr>
            <w:r w:rsidRPr="008A7301">
              <w:rPr>
                <w:rFonts w:cs="Arial"/>
              </w:rPr>
              <w:t xml:space="preserve">We will continue to undertake a focus of training to develop closer working relationships with partners to improve </w:t>
            </w:r>
            <w:r w:rsidRPr="008A7301">
              <w:t>operational</w:t>
            </w:r>
            <w:r w:rsidRPr="008A7301">
              <w:rPr>
                <w:rFonts w:cs="Arial"/>
              </w:rPr>
              <w:t xml:space="preserve"> effectiveness around incidents and foreseeable risk within Leeds.</w:t>
            </w:r>
          </w:p>
        </w:tc>
      </w:tr>
      <w:tr w:rsidR="008A7301" w:rsidRPr="008A7301" w14:paraId="306A7F34" w14:textId="77777777" w:rsidTr="008A7301">
        <w:trPr>
          <w:trHeight w:val="850"/>
        </w:trPr>
        <w:tc>
          <w:tcPr>
            <w:tcW w:w="2689" w:type="dxa"/>
            <w:vMerge/>
            <w:vAlign w:val="center"/>
          </w:tcPr>
          <w:p w14:paraId="439954F0" w14:textId="77777777" w:rsidR="008A7301" w:rsidRPr="008A7301" w:rsidRDefault="008A7301" w:rsidP="00EA2589">
            <w:pPr>
              <w:rPr>
                <w:rFonts w:cs="Arial"/>
                <w:noProof/>
              </w:rPr>
            </w:pPr>
          </w:p>
        </w:tc>
        <w:tc>
          <w:tcPr>
            <w:tcW w:w="12048" w:type="dxa"/>
            <w:vAlign w:val="center"/>
          </w:tcPr>
          <w:p w14:paraId="6C5C4C55" w14:textId="6BEAF0CC" w:rsidR="008A7301" w:rsidRPr="008A7301" w:rsidRDefault="008A7301" w:rsidP="00EA2589">
            <w:pPr>
              <w:rPr>
                <w:rFonts w:cs="Arial"/>
              </w:rPr>
            </w:pPr>
            <w:r w:rsidRPr="008A7301">
              <w:rPr>
                <w:rFonts w:cs="Arial"/>
              </w:rPr>
              <w:t>We will develop and deliver a form of Satellite Training, encompassing the delivery of competency training around the impact from FSHQ rebuild and incorporating the specialist resources based within Leeds District.</w:t>
            </w:r>
          </w:p>
        </w:tc>
      </w:tr>
    </w:tbl>
    <w:p w14:paraId="7DCA88E2" w14:textId="77777777" w:rsidR="00D2001B" w:rsidRPr="008A7301" w:rsidRDefault="00D2001B" w:rsidP="00D2001B">
      <w:pPr>
        <w:spacing w:after="200"/>
        <w:rPr>
          <w:rFonts w:eastAsiaTheme="majorEastAsia" w:cs="Arial"/>
          <w:b/>
          <w:bCs/>
          <w:sz w:val="24"/>
          <w:szCs w:val="24"/>
        </w:rPr>
      </w:pPr>
    </w:p>
    <w:p w14:paraId="5DF23C69" w14:textId="77777777" w:rsidR="00D2001B" w:rsidRPr="008A7301" w:rsidRDefault="00D2001B" w:rsidP="00D2001B">
      <w:pPr>
        <w:spacing w:after="200" w:line="23" w:lineRule="auto"/>
        <w:rPr>
          <w:rFonts w:eastAsiaTheme="majorEastAsia" w:cs="Arial"/>
          <w:b/>
          <w:bCs/>
          <w:sz w:val="24"/>
          <w:szCs w:val="24"/>
        </w:rPr>
      </w:pPr>
      <w:r w:rsidRPr="008A7301">
        <w:rPr>
          <w:rFonts w:eastAsiaTheme="majorEastAsia" w:cs="Arial"/>
          <w:b/>
          <w:bCs/>
          <w:sz w:val="24"/>
          <w:szCs w:val="24"/>
        </w:rPr>
        <w:br w:type="page"/>
      </w:r>
    </w:p>
    <w:tbl>
      <w:tblPr>
        <w:tblStyle w:val="TableGrid"/>
        <w:tblpPr w:leftFromText="180" w:rightFromText="180" w:vertAnchor="page" w:horzAnchor="margin" w:tblpY="871"/>
        <w:tblW w:w="13887" w:type="dxa"/>
        <w:tblLook w:val="04A0" w:firstRow="1" w:lastRow="0" w:firstColumn="1" w:lastColumn="0" w:noHBand="0" w:noVBand="1"/>
      </w:tblPr>
      <w:tblGrid>
        <w:gridCol w:w="2689"/>
        <w:gridCol w:w="11198"/>
      </w:tblGrid>
      <w:tr w:rsidR="008A7301" w:rsidRPr="008A7301" w14:paraId="7216B43F" w14:textId="77777777" w:rsidTr="008A7301">
        <w:trPr>
          <w:trHeight w:val="983"/>
        </w:trPr>
        <w:tc>
          <w:tcPr>
            <w:tcW w:w="2689" w:type="dxa"/>
            <w:vMerge w:val="restart"/>
            <w:vAlign w:val="center"/>
          </w:tcPr>
          <w:p w14:paraId="2234954F" w14:textId="77777777" w:rsidR="008A7301" w:rsidRPr="008A7301" w:rsidRDefault="008A7301" w:rsidP="008A7301">
            <w:pPr>
              <w:jc w:val="both"/>
              <w:rPr>
                <w:rFonts w:cs="Arial"/>
              </w:rPr>
            </w:pPr>
            <w:bookmarkStart w:id="1" w:name="_Hlk84423088"/>
            <w:bookmarkStart w:id="2" w:name="_Hlk84423678"/>
            <w:r w:rsidRPr="008A7301">
              <w:rPr>
                <w:rFonts w:cs="Arial"/>
                <w:noProof/>
              </w:rPr>
              <w:lastRenderedPageBreak/>
              <w:drawing>
                <wp:anchor distT="0" distB="0" distL="114300" distR="114300" simplePos="0" relativeHeight="251705344" behindDoc="1" locked="0" layoutInCell="1" allowOverlap="1" wp14:anchorId="4E7AAB57" wp14:editId="530C151A">
                  <wp:simplePos x="0" y="0"/>
                  <wp:positionH relativeFrom="column">
                    <wp:posOffset>-53340</wp:posOffset>
                  </wp:positionH>
                  <wp:positionV relativeFrom="paragraph">
                    <wp:posOffset>-283845</wp:posOffset>
                  </wp:positionV>
                  <wp:extent cx="1666875" cy="1491615"/>
                  <wp:effectExtent l="0" t="0" r="9525"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6">
                            <a:alphaModFix amt="10000"/>
                            <a:extLst>
                              <a:ext uri="{28A0092B-C50C-407E-A947-70E740481C1C}">
                                <a14:useLocalDpi xmlns:a14="http://schemas.microsoft.com/office/drawing/2010/main" val="0"/>
                              </a:ext>
                            </a:extLst>
                          </a:blip>
                          <a:srcRect/>
                          <a:stretch>
                            <a:fillRect/>
                          </a:stretch>
                        </pic:blipFill>
                        <pic:spPr bwMode="auto">
                          <a:xfrm>
                            <a:off x="0" y="0"/>
                            <a:ext cx="1666875" cy="149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301">
              <w:rPr>
                <w:rFonts w:cs="Arial"/>
              </w:rPr>
              <w:t>We will work efficiently to provide value for money and make the best use of reserves to provide an effective service</w:t>
            </w:r>
            <w:r w:rsidRPr="008A7301">
              <w:rPr>
                <w:rFonts w:cs="Arial"/>
                <w:noProof/>
              </w:rPr>
              <w:t xml:space="preserve"> </w:t>
            </w:r>
          </w:p>
        </w:tc>
        <w:tc>
          <w:tcPr>
            <w:tcW w:w="11198" w:type="dxa"/>
          </w:tcPr>
          <w:p w14:paraId="5650BAAF" w14:textId="77777777" w:rsidR="008A7301" w:rsidRPr="008A7301" w:rsidRDefault="008A7301" w:rsidP="008A7301">
            <w:pPr>
              <w:jc w:val="both"/>
              <w:rPr>
                <w:rFonts w:cs="Arial"/>
              </w:rPr>
            </w:pPr>
            <w:r w:rsidRPr="008A7301">
              <w:rPr>
                <w:rFonts w:cs="Arial"/>
              </w:rPr>
              <w:t>We will work efficiently to provide value for money and make the best use of reserves to provide an effective service.</w:t>
            </w:r>
          </w:p>
        </w:tc>
      </w:tr>
      <w:tr w:rsidR="008A7301" w:rsidRPr="008A7301" w14:paraId="5408732B" w14:textId="77777777" w:rsidTr="008A7301">
        <w:trPr>
          <w:trHeight w:val="1350"/>
        </w:trPr>
        <w:tc>
          <w:tcPr>
            <w:tcW w:w="2689" w:type="dxa"/>
            <w:vMerge/>
            <w:vAlign w:val="center"/>
          </w:tcPr>
          <w:p w14:paraId="6C0DCB92" w14:textId="77777777" w:rsidR="008A7301" w:rsidRPr="008A7301" w:rsidRDefault="008A7301" w:rsidP="008A7301">
            <w:pPr>
              <w:jc w:val="both"/>
              <w:rPr>
                <w:rFonts w:cs="Arial"/>
                <w:noProof/>
              </w:rPr>
            </w:pPr>
          </w:p>
        </w:tc>
        <w:tc>
          <w:tcPr>
            <w:tcW w:w="11198" w:type="dxa"/>
          </w:tcPr>
          <w:p w14:paraId="68479573" w14:textId="77777777" w:rsidR="008A7301" w:rsidRPr="008A7301" w:rsidRDefault="008A7301" w:rsidP="008A7301">
            <w:pPr>
              <w:jc w:val="both"/>
              <w:rPr>
                <w:rFonts w:cs="Arial"/>
              </w:rPr>
            </w:pPr>
            <w:r w:rsidRPr="008A7301">
              <w:rPr>
                <w:rFonts w:cs="Arial"/>
              </w:rPr>
              <w:t>We will lead and progress the transition of CLM to Service Delivery Development (SDD), enhancing more effective and efficient ways of operating and working within WYFRS.</w:t>
            </w:r>
          </w:p>
          <w:p w14:paraId="1D3D4EE5" w14:textId="77777777" w:rsidR="008A7301" w:rsidRPr="008A7301" w:rsidRDefault="008A7301" w:rsidP="008A7301">
            <w:pPr>
              <w:jc w:val="both"/>
              <w:rPr>
                <w:rFonts w:cs="Arial"/>
              </w:rPr>
            </w:pPr>
          </w:p>
        </w:tc>
      </w:tr>
      <w:tr w:rsidR="008A7301" w:rsidRPr="008A7301" w14:paraId="76980B3E" w14:textId="77777777" w:rsidTr="008A7301">
        <w:trPr>
          <w:trHeight w:val="251"/>
        </w:trPr>
        <w:tc>
          <w:tcPr>
            <w:tcW w:w="2689" w:type="dxa"/>
            <w:vMerge/>
            <w:vAlign w:val="center"/>
          </w:tcPr>
          <w:p w14:paraId="63371980" w14:textId="77777777" w:rsidR="008A7301" w:rsidRPr="008A7301" w:rsidRDefault="008A7301" w:rsidP="008A7301">
            <w:pPr>
              <w:jc w:val="both"/>
              <w:rPr>
                <w:rFonts w:cs="Arial"/>
                <w:noProof/>
              </w:rPr>
            </w:pPr>
          </w:p>
        </w:tc>
        <w:tc>
          <w:tcPr>
            <w:tcW w:w="11198" w:type="dxa"/>
          </w:tcPr>
          <w:p w14:paraId="53DA3E62" w14:textId="77777777" w:rsidR="008A7301" w:rsidRPr="008A7301" w:rsidRDefault="008A7301" w:rsidP="008A7301">
            <w:pPr>
              <w:jc w:val="both"/>
              <w:rPr>
                <w:rFonts w:cs="Arial"/>
              </w:rPr>
            </w:pPr>
            <w:r w:rsidRPr="008A7301">
              <w:rPr>
                <w:rFonts w:cs="Arial"/>
              </w:rPr>
              <w:t>We will pilot an intelligence driven approach around Risk Reduction and Prevention, making best use of our resources in a more effective way.</w:t>
            </w:r>
          </w:p>
        </w:tc>
      </w:tr>
      <w:tr w:rsidR="008A7301" w:rsidRPr="008A7301" w14:paraId="780C02CB" w14:textId="77777777" w:rsidTr="008A7301">
        <w:trPr>
          <w:trHeight w:val="495"/>
        </w:trPr>
        <w:tc>
          <w:tcPr>
            <w:tcW w:w="2689" w:type="dxa"/>
            <w:vMerge/>
            <w:vAlign w:val="center"/>
          </w:tcPr>
          <w:p w14:paraId="33813A44" w14:textId="77777777" w:rsidR="008A7301" w:rsidRPr="008A7301" w:rsidRDefault="008A7301" w:rsidP="008A7301">
            <w:pPr>
              <w:jc w:val="both"/>
              <w:rPr>
                <w:rFonts w:cs="Arial"/>
                <w:noProof/>
              </w:rPr>
            </w:pPr>
          </w:p>
        </w:tc>
        <w:tc>
          <w:tcPr>
            <w:tcW w:w="11198" w:type="dxa"/>
          </w:tcPr>
          <w:p w14:paraId="7FA5005E" w14:textId="77777777" w:rsidR="008A7301" w:rsidRPr="008A7301" w:rsidRDefault="008A7301" w:rsidP="008A7301">
            <w:pPr>
              <w:jc w:val="both"/>
              <w:rPr>
                <w:rFonts w:cs="Arial"/>
              </w:rPr>
            </w:pPr>
            <w:r w:rsidRPr="008A7301">
              <w:rPr>
                <w:rFonts w:cs="Arial"/>
              </w:rPr>
              <w:t>We will maintain a focus on supporting staff and maintaining organisational assurances around Covid until there is agreed national endemic.</w:t>
            </w:r>
          </w:p>
        </w:tc>
      </w:tr>
      <w:tr w:rsidR="008A7301" w:rsidRPr="008A7301" w14:paraId="43CFEA2A" w14:textId="77777777" w:rsidTr="008A7301">
        <w:trPr>
          <w:trHeight w:val="1155"/>
        </w:trPr>
        <w:tc>
          <w:tcPr>
            <w:tcW w:w="2689" w:type="dxa"/>
            <w:vMerge/>
            <w:vAlign w:val="center"/>
          </w:tcPr>
          <w:p w14:paraId="7FD40E44" w14:textId="77777777" w:rsidR="008A7301" w:rsidRPr="008A7301" w:rsidRDefault="008A7301" w:rsidP="008A7301">
            <w:pPr>
              <w:jc w:val="both"/>
              <w:rPr>
                <w:rFonts w:cs="Arial"/>
                <w:noProof/>
              </w:rPr>
            </w:pPr>
          </w:p>
        </w:tc>
        <w:tc>
          <w:tcPr>
            <w:tcW w:w="11198" w:type="dxa"/>
          </w:tcPr>
          <w:p w14:paraId="053455E5" w14:textId="77777777" w:rsidR="008A7301" w:rsidRPr="008A7301" w:rsidRDefault="008A7301" w:rsidP="008A7301">
            <w:pPr>
              <w:jc w:val="both"/>
              <w:rPr>
                <w:rFonts w:cs="Arial"/>
              </w:rPr>
            </w:pPr>
            <w:r w:rsidRPr="008A7301">
              <w:rPr>
                <w:rFonts w:cs="Arial"/>
              </w:rPr>
              <w:t>We will continue to utilise effective ICT solutions to deliver innovative ways of engagement and support to members of our team and communities.</w:t>
            </w:r>
          </w:p>
        </w:tc>
      </w:tr>
      <w:tr w:rsidR="008A7301" w:rsidRPr="008A7301" w14:paraId="2A7E1C1C" w14:textId="77777777" w:rsidTr="008A7301">
        <w:trPr>
          <w:trHeight w:val="485"/>
        </w:trPr>
        <w:tc>
          <w:tcPr>
            <w:tcW w:w="2689" w:type="dxa"/>
            <w:vMerge w:val="restart"/>
            <w:vAlign w:val="center"/>
          </w:tcPr>
          <w:p w14:paraId="1A571B09" w14:textId="77777777" w:rsidR="008A7301" w:rsidRPr="008A7301" w:rsidRDefault="008A7301" w:rsidP="008A7301">
            <w:pPr>
              <w:pStyle w:val="Default"/>
              <w:spacing w:after="63"/>
              <w:jc w:val="both"/>
              <w:rPr>
                <w:color w:val="auto"/>
                <w:sz w:val="22"/>
                <w:szCs w:val="22"/>
              </w:rPr>
            </w:pPr>
            <w:bookmarkStart w:id="3" w:name="_Hlk84424342"/>
            <w:r w:rsidRPr="008A7301">
              <w:rPr>
                <w:noProof/>
                <w:color w:val="auto"/>
                <w:sz w:val="22"/>
                <w:szCs w:val="22"/>
              </w:rPr>
              <w:drawing>
                <wp:anchor distT="0" distB="0" distL="114300" distR="114300" simplePos="0" relativeHeight="251704320" behindDoc="1" locked="0" layoutInCell="1" allowOverlap="1" wp14:anchorId="68825A50" wp14:editId="6BCFA6A5">
                  <wp:simplePos x="0" y="0"/>
                  <wp:positionH relativeFrom="column">
                    <wp:posOffset>-62230</wp:posOffset>
                  </wp:positionH>
                  <wp:positionV relativeFrom="paragraph">
                    <wp:posOffset>-29845</wp:posOffset>
                  </wp:positionV>
                  <wp:extent cx="1704975" cy="1352550"/>
                  <wp:effectExtent l="0" t="0" r="9525"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7">
                            <a:alphaModFix amt="10000"/>
                            <a:extLst>
                              <a:ext uri="{28A0092B-C50C-407E-A947-70E740481C1C}">
                                <a14:useLocalDpi xmlns:a14="http://schemas.microsoft.com/office/drawing/2010/main" val="0"/>
                              </a:ext>
                            </a:extLst>
                          </a:blip>
                          <a:srcRect/>
                          <a:stretch>
                            <a:fillRect/>
                          </a:stretch>
                        </pic:blipFill>
                        <pic:spPr bwMode="auto">
                          <a:xfrm>
                            <a:off x="0" y="0"/>
                            <a:ext cx="170497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301">
              <w:rPr>
                <w:color w:val="auto"/>
                <w:sz w:val="22"/>
                <w:szCs w:val="22"/>
              </w:rPr>
              <w:t>We will invest in information and communication technology, digital and data, to deliver our service in smarter ways</w:t>
            </w:r>
          </w:p>
        </w:tc>
        <w:tc>
          <w:tcPr>
            <w:tcW w:w="11198" w:type="dxa"/>
          </w:tcPr>
          <w:p w14:paraId="1AB4F094" w14:textId="77777777" w:rsidR="008A7301" w:rsidRPr="008A7301" w:rsidRDefault="008A7301" w:rsidP="008A7301">
            <w:pPr>
              <w:jc w:val="both"/>
              <w:rPr>
                <w:rFonts w:cs="Arial"/>
              </w:rPr>
            </w:pPr>
            <w:r w:rsidRPr="008A7301">
              <w:rPr>
                <w:rFonts w:cs="Arial"/>
              </w:rPr>
              <w:t xml:space="preserve">We will continue to utilise ICT functions and programmes to enhance engagement and ways of working throughout SDD and the District structure. </w:t>
            </w:r>
          </w:p>
        </w:tc>
      </w:tr>
      <w:tr w:rsidR="008A7301" w:rsidRPr="008A7301" w14:paraId="246F6F37" w14:textId="77777777" w:rsidTr="008A7301">
        <w:trPr>
          <w:trHeight w:val="570"/>
        </w:trPr>
        <w:tc>
          <w:tcPr>
            <w:tcW w:w="2689" w:type="dxa"/>
            <w:vMerge/>
            <w:vAlign w:val="center"/>
          </w:tcPr>
          <w:p w14:paraId="43091671" w14:textId="77777777" w:rsidR="008A7301" w:rsidRPr="008A7301" w:rsidRDefault="008A7301" w:rsidP="008A7301">
            <w:pPr>
              <w:jc w:val="both"/>
              <w:rPr>
                <w:rFonts w:cs="Arial"/>
                <w:noProof/>
              </w:rPr>
            </w:pPr>
          </w:p>
        </w:tc>
        <w:tc>
          <w:tcPr>
            <w:tcW w:w="11198" w:type="dxa"/>
          </w:tcPr>
          <w:p w14:paraId="4EAED6B3" w14:textId="77777777" w:rsidR="008A7301" w:rsidRPr="008A7301" w:rsidRDefault="008A7301" w:rsidP="008A7301">
            <w:pPr>
              <w:jc w:val="both"/>
              <w:rPr>
                <w:rFonts w:cs="Arial"/>
              </w:rPr>
            </w:pPr>
            <w:r w:rsidRPr="008A7301">
              <w:rPr>
                <w:rFonts w:cs="Arial"/>
              </w:rPr>
              <w:t xml:space="preserve">We will continue to contribute and support the Performance Dashboard </w:t>
            </w:r>
            <w:r w:rsidRPr="008A7301">
              <w:t>which</w:t>
            </w:r>
            <w:r w:rsidRPr="008A7301">
              <w:rPr>
                <w:rFonts w:cs="Arial"/>
              </w:rPr>
              <w:t xml:space="preserve"> will enhance organisational improvement.</w:t>
            </w:r>
          </w:p>
        </w:tc>
      </w:tr>
      <w:tr w:rsidR="008A7301" w:rsidRPr="008A7301" w14:paraId="541BEDB2" w14:textId="77777777" w:rsidTr="008A7301">
        <w:trPr>
          <w:trHeight w:val="590"/>
        </w:trPr>
        <w:tc>
          <w:tcPr>
            <w:tcW w:w="2689" w:type="dxa"/>
            <w:vMerge/>
            <w:vAlign w:val="center"/>
          </w:tcPr>
          <w:p w14:paraId="620A50D1" w14:textId="77777777" w:rsidR="008A7301" w:rsidRPr="008A7301" w:rsidRDefault="008A7301" w:rsidP="008A7301">
            <w:pPr>
              <w:jc w:val="both"/>
              <w:rPr>
                <w:rFonts w:cs="Arial"/>
                <w:noProof/>
              </w:rPr>
            </w:pPr>
          </w:p>
        </w:tc>
        <w:tc>
          <w:tcPr>
            <w:tcW w:w="11198" w:type="dxa"/>
          </w:tcPr>
          <w:p w14:paraId="3CBC9083" w14:textId="77777777" w:rsidR="008A7301" w:rsidRDefault="008A7301" w:rsidP="008A7301">
            <w:pPr>
              <w:jc w:val="both"/>
              <w:rPr>
                <w:rFonts w:cs="Arial"/>
              </w:rPr>
            </w:pPr>
            <w:r w:rsidRPr="008A7301">
              <w:rPr>
                <w:rFonts w:cs="Arial"/>
              </w:rPr>
              <w:t>We will complement and enhance the Golden Thread of communication and engagement throughout District and incorporating Management Team and Board and Fire Authority Councillors.</w:t>
            </w:r>
          </w:p>
          <w:p w14:paraId="2060776D" w14:textId="77777777" w:rsidR="008A7301" w:rsidRDefault="008A7301" w:rsidP="008A7301">
            <w:pPr>
              <w:jc w:val="both"/>
              <w:rPr>
                <w:rFonts w:cs="Arial"/>
              </w:rPr>
            </w:pPr>
          </w:p>
          <w:p w14:paraId="40CB58D6" w14:textId="2900D7B8" w:rsidR="008A7301" w:rsidRPr="008A7301" w:rsidRDefault="008A7301" w:rsidP="008A7301">
            <w:pPr>
              <w:jc w:val="both"/>
              <w:rPr>
                <w:rFonts w:cs="Arial"/>
              </w:rPr>
            </w:pPr>
          </w:p>
        </w:tc>
      </w:tr>
      <w:bookmarkEnd w:id="1"/>
      <w:bookmarkEnd w:id="3"/>
    </w:tbl>
    <w:p w14:paraId="5AF9B3BD" w14:textId="7A30F98E" w:rsidR="00D2001B" w:rsidRPr="008A7301" w:rsidRDefault="00D2001B" w:rsidP="00D2001B">
      <w:pPr>
        <w:spacing w:after="200"/>
        <w:rPr>
          <w:rFonts w:eastAsiaTheme="majorEastAsia" w:cs="Arial"/>
          <w:b/>
          <w:bCs/>
          <w:sz w:val="24"/>
          <w:szCs w:val="24"/>
        </w:rPr>
      </w:pPr>
    </w:p>
    <w:p w14:paraId="43E2BA64" w14:textId="64531F18" w:rsidR="008A7301" w:rsidRPr="008A7301" w:rsidRDefault="008A7301" w:rsidP="00D2001B">
      <w:pPr>
        <w:spacing w:after="200"/>
        <w:rPr>
          <w:rFonts w:eastAsiaTheme="majorEastAsia" w:cs="Arial"/>
          <w:b/>
          <w:bCs/>
          <w:sz w:val="24"/>
          <w:szCs w:val="24"/>
        </w:rPr>
      </w:pPr>
    </w:p>
    <w:p w14:paraId="63DCD9BF" w14:textId="2A9A6229" w:rsidR="008A7301" w:rsidRPr="008A7301" w:rsidRDefault="008A7301" w:rsidP="00D2001B">
      <w:pPr>
        <w:spacing w:after="200"/>
        <w:rPr>
          <w:rFonts w:eastAsiaTheme="majorEastAsia" w:cs="Arial"/>
          <w:b/>
          <w:bCs/>
          <w:sz w:val="24"/>
          <w:szCs w:val="24"/>
        </w:rPr>
      </w:pPr>
    </w:p>
    <w:p w14:paraId="7FB47657" w14:textId="492CD154" w:rsidR="008A7301" w:rsidRPr="008A7301" w:rsidRDefault="008A7301" w:rsidP="00D2001B">
      <w:pPr>
        <w:spacing w:after="200"/>
        <w:rPr>
          <w:rFonts w:eastAsiaTheme="majorEastAsia" w:cs="Arial"/>
          <w:b/>
          <w:bCs/>
          <w:sz w:val="24"/>
          <w:szCs w:val="24"/>
        </w:rPr>
      </w:pPr>
    </w:p>
    <w:p w14:paraId="576768BE" w14:textId="77777777" w:rsidR="008A7301" w:rsidRPr="008A7301" w:rsidRDefault="008A7301" w:rsidP="00D2001B">
      <w:pPr>
        <w:spacing w:after="200"/>
        <w:rPr>
          <w:rFonts w:eastAsiaTheme="majorEastAsia" w:cs="Arial"/>
          <w:b/>
          <w:bCs/>
          <w:sz w:val="24"/>
          <w:szCs w:val="24"/>
        </w:rPr>
      </w:pPr>
    </w:p>
    <w:tbl>
      <w:tblPr>
        <w:tblStyle w:val="TableGrid"/>
        <w:tblpPr w:leftFromText="180" w:rightFromText="180" w:vertAnchor="page" w:horzAnchor="margin" w:tblpXSpec="center" w:tblpY="1851"/>
        <w:tblW w:w="13745" w:type="dxa"/>
        <w:tblLook w:val="04A0" w:firstRow="1" w:lastRow="0" w:firstColumn="1" w:lastColumn="0" w:noHBand="0" w:noVBand="1"/>
      </w:tblPr>
      <w:tblGrid>
        <w:gridCol w:w="2835"/>
        <w:gridCol w:w="10910"/>
      </w:tblGrid>
      <w:tr w:rsidR="008A7301" w:rsidRPr="008A7301" w14:paraId="1921F796" w14:textId="77777777" w:rsidTr="008A7301">
        <w:trPr>
          <w:trHeight w:val="495"/>
        </w:trPr>
        <w:tc>
          <w:tcPr>
            <w:tcW w:w="2835" w:type="dxa"/>
            <w:vMerge w:val="restart"/>
            <w:vAlign w:val="center"/>
          </w:tcPr>
          <w:p w14:paraId="126FF41C" w14:textId="77777777" w:rsidR="008A7301" w:rsidRPr="008A7301" w:rsidRDefault="008A7301" w:rsidP="003E76E0">
            <w:pPr>
              <w:rPr>
                <w:rFonts w:cs="Arial"/>
              </w:rPr>
            </w:pPr>
            <w:r w:rsidRPr="008A7301">
              <w:rPr>
                <w:rFonts w:cs="Arial"/>
                <w:noProof/>
              </w:rPr>
              <w:lastRenderedPageBreak/>
              <w:drawing>
                <wp:anchor distT="0" distB="0" distL="114300" distR="114300" simplePos="0" relativeHeight="251696128" behindDoc="1" locked="0" layoutInCell="1" allowOverlap="1" wp14:anchorId="4DDFA7DD" wp14:editId="1837B02A">
                  <wp:simplePos x="0" y="0"/>
                  <wp:positionH relativeFrom="column">
                    <wp:posOffset>-52705</wp:posOffset>
                  </wp:positionH>
                  <wp:positionV relativeFrom="paragraph">
                    <wp:posOffset>-24130</wp:posOffset>
                  </wp:positionV>
                  <wp:extent cx="1695450" cy="1560195"/>
                  <wp:effectExtent l="0" t="0" r="0" b="1905"/>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8">
                            <a:alphaModFix amt="10000"/>
                            <a:extLst>
                              <a:ext uri="{28A0092B-C50C-407E-A947-70E740481C1C}">
                                <a14:useLocalDpi xmlns:a14="http://schemas.microsoft.com/office/drawing/2010/main" val="0"/>
                              </a:ext>
                            </a:extLst>
                          </a:blip>
                          <a:srcRect/>
                          <a:stretch>
                            <a:fillRect/>
                          </a:stretch>
                        </pic:blipFill>
                        <pic:spPr bwMode="auto">
                          <a:xfrm>
                            <a:off x="0" y="0"/>
                            <a:ext cx="1695450" cy="1560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301">
              <w:rPr>
                <w:rFonts w:cs="Arial"/>
              </w:rPr>
              <w:t>We will use the HMICFRS assessment of ‘Good’ in all areas as a foundation to implement our improvement action plan with the aim of delivering an outstanding service</w:t>
            </w:r>
            <w:r w:rsidRPr="008A7301">
              <w:rPr>
                <w:rFonts w:cs="Arial"/>
                <w:noProof/>
              </w:rPr>
              <w:t xml:space="preserve"> </w:t>
            </w:r>
          </w:p>
        </w:tc>
        <w:tc>
          <w:tcPr>
            <w:tcW w:w="10910" w:type="dxa"/>
          </w:tcPr>
          <w:p w14:paraId="6BF48CDE" w14:textId="77777777" w:rsidR="008A7301" w:rsidRPr="008A7301" w:rsidRDefault="008A7301" w:rsidP="003E76E0">
            <w:pPr>
              <w:rPr>
                <w:rFonts w:cs="Arial"/>
              </w:rPr>
            </w:pPr>
            <w:r w:rsidRPr="008A7301">
              <w:rPr>
                <w:rFonts w:cs="Arial"/>
              </w:rPr>
              <w:t>We will support, develop, and enable our people to be at their best.</w:t>
            </w:r>
          </w:p>
        </w:tc>
      </w:tr>
      <w:tr w:rsidR="008A7301" w:rsidRPr="008A7301" w14:paraId="64E67777" w14:textId="77777777" w:rsidTr="008A7301">
        <w:trPr>
          <w:trHeight w:val="675"/>
        </w:trPr>
        <w:tc>
          <w:tcPr>
            <w:tcW w:w="2835" w:type="dxa"/>
            <w:vMerge/>
            <w:vAlign w:val="center"/>
          </w:tcPr>
          <w:p w14:paraId="4723F46F" w14:textId="77777777" w:rsidR="008A7301" w:rsidRPr="008A7301" w:rsidRDefault="008A7301" w:rsidP="003E76E0">
            <w:pPr>
              <w:rPr>
                <w:rFonts w:cs="Arial"/>
                <w:noProof/>
              </w:rPr>
            </w:pPr>
          </w:p>
        </w:tc>
        <w:tc>
          <w:tcPr>
            <w:tcW w:w="10910" w:type="dxa"/>
          </w:tcPr>
          <w:p w14:paraId="49650FFA" w14:textId="77777777" w:rsidR="008A7301" w:rsidRPr="008A7301" w:rsidRDefault="008A7301" w:rsidP="003E76E0">
            <w:pPr>
              <w:rPr>
                <w:rFonts w:cs="Arial"/>
              </w:rPr>
            </w:pPr>
            <w:r w:rsidRPr="008A7301">
              <w:rPr>
                <w:rFonts w:cs="Arial"/>
              </w:rPr>
              <w:t>Leeds District will focus on operational exercising that will prioritise foreseeable risk within Leeds and West Yorkshire.</w:t>
            </w:r>
          </w:p>
        </w:tc>
      </w:tr>
      <w:tr w:rsidR="008A7301" w:rsidRPr="008A7301" w14:paraId="7C354959" w14:textId="77777777" w:rsidTr="008A7301">
        <w:trPr>
          <w:trHeight w:val="960"/>
        </w:trPr>
        <w:tc>
          <w:tcPr>
            <w:tcW w:w="2835" w:type="dxa"/>
            <w:vMerge/>
            <w:vAlign w:val="center"/>
          </w:tcPr>
          <w:p w14:paraId="7882009F" w14:textId="77777777" w:rsidR="008A7301" w:rsidRPr="008A7301" w:rsidRDefault="008A7301" w:rsidP="003E76E0">
            <w:pPr>
              <w:rPr>
                <w:rFonts w:cs="Arial"/>
                <w:noProof/>
              </w:rPr>
            </w:pPr>
          </w:p>
        </w:tc>
        <w:tc>
          <w:tcPr>
            <w:tcW w:w="10910" w:type="dxa"/>
          </w:tcPr>
          <w:p w14:paraId="2E5EBF49" w14:textId="77777777" w:rsidR="008A7301" w:rsidRPr="008A7301" w:rsidRDefault="008A7301" w:rsidP="003E76E0">
            <w:pPr>
              <w:rPr>
                <w:rFonts w:cs="Arial"/>
              </w:rPr>
            </w:pPr>
            <w:r w:rsidRPr="008A7301">
              <w:rPr>
                <w:rFonts w:cs="Arial"/>
              </w:rPr>
              <w:t>We will continue with staff development through a programme of themed CPD sessions.</w:t>
            </w:r>
          </w:p>
          <w:p w14:paraId="03DD202D" w14:textId="77777777" w:rsidR="008A7301" w:rsidRPr="008A7301" w:rsidRDefault="008A7301" w:rsidP="003E76E0">
            <w:pPr>
              <w:pStyle w:val="ListParagraph"/>
              <w:spacing w:after="0"/>
              <w:rPr>
                <w:rFonts w:cs="Arial"/>
                <w:sz w:val="22"/>
              </w:rPr>
            </w:pPr>
          </w:p>
        </w:tc>
      </w:tr>
      <w:tr w:rsidR="008A7301" w:rsidRPr="008A7301" w14:paraId="03CF1B0D" w14:textId="77777777" w:rsidTr="008A7301">
        <w:trPr>
          <w:trHeight w:val="480"/>
        </w:trPr>
        <w:tc>
          <w:tcPr>
            <w:tcW w:w="2835" w:type="dxa"/>
            <w:vMerge w:val="restart"/>
            <w:vAlign w:val="center"/>
          </w:tcPr>
          <w:p w14:paraId="234BDAB6" w14:textId="77777777" w:rsidR="008A7301" w:rsidRPr="008A7301" w:rsidRDefault="008A7301" w:rsidP="003E76E0">
            <w:pPr>
              <w:rPr>
                <w:rFonts w:cs="Arial"/>
              </w:rPr>
            </w:pPr>
            <w:r w:rsidRPr="008A7301">
              <w:rPr>
                <w:rFonts w:cs="Arial"/>
                <w:noProof/>
              </w:rPr>
              <w:drawing>
                <wp:anchor distT="0" distB="0" distL="114300" distR="114300" simplePos="0" relativeHeight="251697152" behindDoc="1" locked="0" layoutInCell="1" allowOverlap="1" wp14:anchorId="2B6DFDCC" wp14:editId="599CDCCB">
                  <wp:simplePos x="0" y="0"/>
                  <wp:positionH relativeFrom="column">
                    <wp:posOffset>-55880</wp:posOffset>
                  </wp:positionH>
                  <wp:positionV relativeFrom="paragraph">
                    <wp:posOffset>-99060</wp:posOffset>
                  </wp:positionV>
                  <wp:extent cx="1724025" cy="1571625"/>
                  <wp:effectExtent l="0" t="0" r="9525" b="9525"/>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9">
                            <a:alphaModFix amt="10000"/>
                            <a:extLst>
                              <a:ext uri="{28A0092B-C50C-407E-A947-70E740481C1C}">
                                <a14:useLocalDpi xmlns:a14="http://schemas.microsoft.com/office/drawing/2010/main" val="0"/>
                              </a:ext>
                            </a:extLst>
                          </a:blip>
                          <a:srcRect/>
                          <a:stretch>
                            <a:fillRect/>
                          </a:stretch>
                        </pic:blipFill>
                        <pic:spPr bwMode="auto">
                          <a:xfrm>
                            <a:off x="0" y="0"/>
                            <a:ext cx="172402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301">
              <w:rPr>
                <w:rFonts w:cs="Arial"/>
              </w:rPr>
              <w:t xml:space="preserve">We will support, </w:t>
            </w:r>
            <w:proofErr w:type="gramStart"/>
            <w:r w:rsidRPr="008A7301">
              <w:rPr>
                <w:rFonts w:cs="Arial"/>
              </w:rPr>
              <w:t>develop</w:t>
            </w:r>
            <w:proofErr w:type="gramEnd"/>
            <w:r w:rsidRPr="008A7301">
              <w:rPr>
                <w:rFonts w:cs="Arial"/>
              </w:rPr>
              <w:t xml:space="preserve"> and enable our people to be at their best</w:t>
            </w:r>
            <w:r w:rsidRPr="008A7301">
              <w:rPr>
                <w:rFonts w:cs="Arial"/>
                <w:noProof/>
              </w:rPr>
              <w:t xml:space="preserve"> </w:t>
            </w:r>
          </w:p>
        </w:tc>
        <w:tc>
          <w:tcPr>
            <w:tcW w:w="10910" w:type="dxa"/>
          </w:tcPr>
          <w:p w14:paraId="301249DE" w14:textId="77777777" w:rsidR="008A7301" w:rsidRPr="008A7301" w:rsidRDefault="008A7301" w:rsidP="003E76E0">
            <w:pPr>
              <w:rPr>
                <w:rFonts w:cs="Arial"/>
              </w:rPr>
            </w:pPr>
            <w:r w:rsidRPr="008A7301">
              <w:rPr>
                <w:rFonts w:cs="Arial"/>
              </w:rPr>
              <w:t>We will nurture talent and provide support for those identified or wanting to develop in the service.</w:t>
            </w:r>
          </w:p>
        </w:tc>
      </w:tr>
      <w:tr w:rsidR="008A7301" w:rsidRPr="008A7301" w14:paraId="23BC087E" w14:textId="77777777" w:rsidTr="008A7301">
        <w:trPr>
          <w:trHeight w:val="480"/>
        </w:trPr>
        <w:tc>
          <w:tcPr>
            <w:tcW w:w="2835" w:type="dxa"/>
            <w:vMerge/>
            <w:vAlign w:val="center"/>
          </w:tcPr>
          <w:p w14:paraId="3B4D677D" w14:textId="77777777" w:rsidR="008A7301" w:rsidRPr="008A7301" w:rsidRDefault="008A7301" w:rsidP="003E76E0">
            <w:pPr>
              <w:rPr>
                <w:rFonts w:cs="Arial"/>
                <w:noProof/>
              </w:rPr>
            </w:pPr>
          </w:p>
        </w:tc>
        <w:tc>
          <w:tcPr>
            <w:tcW w:w="10910" w:type="dxa"/>
          </w:tcPr>
          <w:p w14:paraId="2387EEDE" w14:textId="77777777" w:rsidR="008A7301" w:rsidRPr="008A7301" w:rsidRDefault="008A7301" w:rsidP="003E76E0">
            <w:pPr>
              <w:rPr>
                <w:rFonts w:cs="Arial"/>
              </w:rPr>
            </w:pPr>
            <w:r w:rsidRPr="008A7301">
              <w:rPr>
                <w:rFonts w:cs="Arial"/>
              </w:rPr>
              <w:t>We will continue to maintain the competence of all service delivery staff.</w:t>
            </w:r>
          </w:p>
        </w:tc>
      </w:tr>
      <w:tr w:rsidR="008A7301" w:rsidRPr="008A7301" w14:paraId="043DB1EE" w14:textId="77777777" w:rsidTr="008A7301">
        <w:trPr>
          <w:trHeight w:val="831"/>
        </w:trPr>
        <w:tc>
          <w:tcPr>
            <w:tcW w:w="2835" w:type="dxa"/>
            <w:vMerge/>
            <w:vAlign w:val="center"/>
          </w:tcPr>
          <w:p w14:paraId="7F9E8DCE" w14:textId="77777777" w:rsidR="008A7301" w:rsidRPr="008A7301" w:rsidRDefault="008A7301" w:rsidP="003E76E0">
            <w:pPr>
              <w:rPr>
                <w:rFonts w:cs="Arial"/>
                <w:noProof/>
              </w:rPr>
            </w:pPr>
          </w:p>
        </w:tc>
        <w:tc>
          <w:tcPr>
            <w:tcW w:w="10910" w:type="dxa"/>
          </w:tcPr>
          <w:p w14:paraId="00B31558" w14:textId="77777777" w:rsidR="008A7301" w:rsidRPr="008A7301" w:rsidRDefault="008A7301" w:rsidP="003E76E0">
            <w:pPr>
              <w:rPr>
                <w:rFonts w:cs="Arial"/>
              </w:rPr>
            </w:pPr>
            <w:r w:rsidRPr="008A7301">
              <w:rPr>
                <w:rFonts w:cs="Arial"/>
              </w:rPr>
              <w:t>We will underpin assurances and professional standards through the Station Assurance Process.</w:t>
            </w:r>
          </w:p>
          <w:p w14:paraId="71468E08" w14:textId="77777777" w:rsidR="008A7301" w:rsidRPr="008A7301" w:rsidRDefault="008A7301" w:rsidP="003E76E0">
            <w:pPr>
              <w:pStyle w:val="ListParagraph"/>
              <w:rPr>
                <w:rFonts w:cs="Arial"/>
                <w:sz w:val="22"/>
              </w:rPr>
            </w:pPr>
          </w:p>
        </w:tc>
      </w:tr>
      <w:tr w:rsidR="008A7301" w:rsidRPr="008A7301" w14:paraId="724F4284" w14:textId="77777777" w:rsidTr="008A7301">
        <w:trPr>
          <w:trHeight w:val="429"/>
        </w:trPr>
        <w:tc>
          <w:tcPr>
            <w:tcW w:w="2835" w:type="dxa"/>
            <w:vMerge/>
            <w:vAlign w:val="center"/>
          </w:tcPr>
          <w:p w14:paraId="7F16C3BE" w14:textId="77777777" w:rsidR="008A7301" w:rsidRPr="008A7301" w:rsidRDefault="008A7301" w:rsidP="003E76E0">
            <w:pPr>
              <w:rPr>
                <w:rFonts w:cs="Arial"/>
                <w:noProof/>
              </w:rPr>
            </w:pPr>
          </w:p>
        </w:tc>
        <w:tc>
          <w:tcPr>
            <w:tcW w:w="10910" w:type="dxa"/>
          </w:tcPr>
          <w:p w14:paraId="27605AF1" w14:textId="1846A927" w:rsidR="008A7301" w:rsidRPr="008A7301" w:rsidRDefault="008A7301" w:rsidP="003E76E0">
            <w:pPr>
              <w:pStyle w:val="ListParagraph"/>
              <w:rPr>
                <w:rFonts w:asciiTheme="minorHAnsi" w:hAnsiTheme="minorHAnsi" w:cstheme="minorHAnsi"/>
              </w:rPr>
            </w:pPr>
            <w:r w:rsidRPr="008A7301">
              <w:rPr>
                <w:rFonts w:asciiTheme="minorHAnsi" w:hAnsiTheme="minorHAnsi" w:cstheme="minorHAnsi"/>
                <w:sz w:val="22"/>
                <w:szCs w:val="20"/>
              </w:rPr>
              <w:t>We will continue to develop and deliver health and wellbeing initiatives to support our staff to be at their best to protect our communities and make West Yorkshire safer.</w:t>
            </w:r>
          </w:p>
        </w:tc>
      </w:tr>
      <w:tr w:rsidR="008A7301" w:rsidRPr="008A7301" w14:paraId="4636D3D0" w14:textId="77777777" w:rsidTr="008A7301">
        <w:trPr>
          <w:trHeight w:val="429"/>
        </w:trPr>
        <w:tc>
          <w:tcPr>
            <w:tcW w:w="2835" w:type="dxa"/>
            <w:vMerge/>
            <w:vAlign w:val="center"/>
          </w:tcPr>
          <w:p w14:paraId="4FB4CE1F" w14:textId="77777777" w:rsidR="008A7301" w:rsidRPr="008A7301" w:rsidRDefault="008A7301" w:rsidP="003E76E0">
            <w:pPr>
              <w:rPr>
                <w:rFonts w:cs="Arial"/>
                <w:noProof/>
              </w:rPr>
            </w:pPr>
          </w:p>
        </w:tc>
        <w:tc>
          <w:tcPr>
            <w:tcW w:w="10910" w:type="dxa"/>
          </w:tcPr>
          <w:p w14:paraId="66544A75" w14:textId="5F793187" w:rsidR="008A7301" w:rsidRPr="008A7301" w:rsidRDefault="008A7301" w:rsidP="003E76E0">
            <w:pPr>
              <w:pStyle w:val="ListParagraph"/>
              <w:rPr>
                <w:rFonts w:asciiTheme="minorHAnsi" w:hAnsiTheme="minorHAnsi" w:cstheme="minorHAnsi"/>
              </w:rPr>
            </w:pPr>
            <w:r w:rsidRPr="008A7301">
              <w:rPr>
                <w:rFonts w:asciiTheme="minorHAnsi" w:hAnsiTheme="minorHAnsi" w:cstheme="minorHAnsi"/>
                <w:sz w:val="22"/>
                <w:szCs w:val="20"/>
              </w:rPr>
              <w:t>We will establish HR training packages around conflict management, managing behaviours and aligned to values within WYFRS.</w:t>
            </w:r>
          </w:p>
        </w:tc>
      </w:tr>
    </w:tbl>
    <w:p w14:paraId="387147F5" w14:textId="77777777" w:rsidR="00D2001B" w:rsidRPr="008A7301" w:rsidRDefault="00D2001B" w:rsidP="00D2001B">
      <w:pPr>
        <w:tabs>
          <w:tab w:val="left" w:pos="1200"/>
        </w:tabs>
        <w:rPr>
          <w:rFonts w:eastAsiaTheme="majorEastAsia" w:cs="Arial"/>
          <w:sz w:val="24"/>
          <w:szCs w:val="24"/>
        </w:rPr>
      </w:pPr>
      <w:r w:rsidRPr="008A7301">
        <w:rPr>
          <w:rFonts w:eastAsiaTheme="majorEastAsia" w:cs="Arial"/>
          <w:sz w:val="24"/>
          <w:szCs w:val="24"/>
        </w:rPr>
        <w:tab/>
      </w:r>
    </w:p>
    <w:p w14:paraId="6CE243DD" w14:textId="2FF6ACC2" w:rsidR="00D2001B" w:rsidRPr="008A7301" w:rsidRDefault="00D2001B" w:rsidP="00D2001B">
      <w:pPr>
        <w:spacing w:after="200" w:line="23" w:lineRule="auto"/>
        <w:rPr>
          <w:rFonts w:eastAsiaTheme="majorEastAsia" w:cs="Arial"/>
          <w:sz w:val="24"/>
          <w:szCs w:val="24"/>
        </w:rPr>
      </w:pPr>
    </w:p>
    <w:bookmarkEnd w:id="2"/>
    <w:p w14:paraId="63A28CF6" w14:textId="77777777" w:rsidR="00D2001B" w:rsidRPr="008A7301" w:rsidRDefault="00D2001B" w:rsidP="00D2001B">
      <w:pPr>
        <w:tabs>
          <w:tab w:val="left" w:pos="1200"/>
        </w:tabs>
        <w:rPr>
          <w:rFonts w:eastAsiaTheme="majorEastAsia" w:cs="Arial"/>
          <w:sz w:val="24"/>
          <w:szCs w:val="24"/>
        </w:rPr>
      </w:pPr>
    </w:p>
    <w:p w14:paraId="6E069FCB" w14:textId="77777777" w:rsidR="00D2001B" w:rsidRPr="008A7301" w:rsidRDefault="00D2001B" w:rsidP="00D2001B">
      <w:pPr>
        <w:spacing w:after="200" w:line="23" w:lineRule="auto"/>
        <w:rPr>
          <w:rFonts w:eastAsiaTheme="majorEastAsia" w:cs="Arial"/>
          <w:sz w:val="24"/>
          <w:szCs w:val="24"/>
        </w:rPr>
      </w:pPr>
      <w:r w:rsidRPr="008A7301">
        <w:rPr>
          <w:rFonts w:eastAsiaTheme="majorEastAsia" w:cs="Arial"/>
          <w:sz w:val="24"/>
          <w:szCs w:val="24"/>
        </w:rPr>
        <w:br w:type="page"/>
      </w:r>
    </w:p>
    <w:tbl>
      <w:tblPr>
        <w:tblStyle w:val="TableGrid"/>
        <w:tblpPr w:leftFromText="180" w:rightFromText="180" w:vertAnchor="page" w:horzAnchor="margin" w:tblpXSpec="center" w:tblpY="946"/>
        <w:tblW w:w="13745" w:type="dxa"/>
        <w:tblLook w:val="04A0" w:firstRow="1" w:lastRow="0" w:firstColumn="1" w:lastColumn="0" w:noHBand="0" w:noVBand="1"/>
      </w:tblPr>
      <w:tblGrid>
        <w:gridCol w:w="2972"/>
        <w:gridCol w:w="10773"/>
      </w:tblGrid>
      <w:tr w:rsidR="008A7301" w:rsidRPr="008A7301" w14:paraId="4826F9BD" w14:textId="77777777" w:rsidTr="008A7301">
        <w:trPr>
          <w:trHeight w:val="1317"/>
        </w:trPr>
        <w:tc>
          <w:tcPr>
            <w:tcW w:w="2972" w:type="dxa"/>
            <w:vMerge w:val="restart"/>
            <w:vAlign w:val="center"/>
          </w:tcPr>
          <w:p w14:paraId="0F2D1434" w14:textId="77777777" w:rsidR="008A7301" w:rsidRPr="008A7301" w:rsidRDefault="008A7301" w:rsidP="00134979">
            <w:pPr>
              <w:pStyle w:val="Default"/>
              <w:rPr>
                <w:color w:val="auto"/>
                <w:sz w:val="22"/>
                <w:szCs w:val="22"/>
              </w:rPr>
            </w:pPr>
            <w:r w:rsidRPr="008A7301">
              <w:rPr>
                <w:noProof/>
                <w:color w:val="auto"/>
                <w:sz w:val="22"/>
                <w:szCs w:val="22"/>
              </w:rPr>
              <w:lastRenderedPageBreak/>
              <w:drawing>
                <wp:anchor distT="0" distB="0" distL="114300" distR="114300" simplePos="0" relativeHeight="251699200" behindDoc="1" locked="0" layoutInCell="1" allowOverlap="1" wp14:anchorId="6EE6C22C" wp14:editId="25B404C7">
                  <wp:simplePos x="0" y="0"/>
                  <wp:positionH relativeFrom="column">
                    <wp:posOffset>-64770</wp:posOffset>
                  </wp:positionH>
                  <wp:positionV relativeFrom="paragraph">
                    <wp:posOffset>-3175</wp:posOffset>
                  </wp:positionV>
                  <wp:extent cx="1609725" cy="1604645"/>
                  <wp:effectExtent l="0" t="0" r="9525" b="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10">
                            <a:alphaModFix amt="10000"/>
                            <a:extLst>
                              <a:ext uri="{28A0092B-C50C-407E-A947-70E740481C1C}">
                                <a14:useLocalDpi xmlns:a14="http://schemas.microsoft.com/office/drawing/2010/main" val="0"/>
                              </a:ext>
                            </a:extLst>
                          </a:blip>
                          <a:srcRect/>
                          <a:stretch>
                            <a:fillRect/>
                          </a:stretch>
                        </pic:blipFill>
                        <pic:spPr bwMode="auto">
                          <a:xfrm>
                            <a:off x="0" y="0"/>
                            <a:ext cx="1609725" cy="160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301">
              <w:rPr>
                <w:color w:val="auto"/>
                <w:sz w:val="22"/>
                <w:szCs w:val="22"/>
              </w:rPr>
              <w:t xml:space="preserve">We will promote environmentally friendly ways of working, reduce </w:t>
            </w:r>
            <w:proofErr w:type="gramStart"/>
            <w:r w:rsidRPr="008A7301">
              <w:rPr>
                <w:color w:val="auto"/>
                <w:sz w:val="22"/>
                <w:szCs w:val="22"/>
              </w:rPr>
              <w:t>waste</w:t>
            </w:r>
            <w:proofErr w:type="gramEnd"/>
            <w:r w:rsidRPr="008A7301">
              <w:rPr>
                <w:color w:val="auto"/>
                <w:sz w:val="22"/>
                <w:szCs w:val="22"/>
              </w:rPr>
              <w:t xml:space="preserve"> and raise awareness amongst staff to both fight climate change and respond more effectively to incidents driven by extreme weather events</w:t>
            </w:r>
          </w:p>
        </w:tc>
        <w:tc>
          <w:tcPr>
            <w:tcW w:w="10773" w:type="dxa"/>
          </w:tcPr>
          <w:p w14:paraId="4F6CC045" w14:textId="77777777" w:rsidR="008A7301" w:rsidRPr="008A7301" w:rsidRDefault="008A7301" w:rsidP="00134979">
            <w:pPr>
              <w:rPr>
                <w:rFonts w:cs="Arial"/>
              </w:rPr>
            </w:pPr>
            <w:r w:rsidRPr="008A7301">
              <w:rPr>
                <w:rFonts w:cs="Arial"/>
              </w:rPr>
              <w:t xml:space="preserve">We will promote environmentally friendly ways of working, reduce </w:t>
            </w:r>
            <w:proofErr w:type="gramStart"/>
            <w:r w:rsidRPr="008A7301">
              <w:rPr>
                <w:rFonts w:cs="Arial"/>
              </w:rPr>
              <w:t>waste</w:t>
            </w:r>
            <w:proofErr w:type="gramEnd"/>
            <w:r w:rsidRPr="008A7301">
              <w:rPr>
                <w:rFonts w:cs="Arial"/>
              </w:rPr>
              <w:t xml:space="preserve"> and raise awareness amongst staff to both fight climate change and respond more effectively to incidents driven by extreme weather events.</w:t>
            </w:r>
          </w:p>
        </w:tc>
      </w:tr>
      <w:tr w:rsidR="008A7301" w:rsidRPr="008A7301" w14:paraId="37EF5F1A" w14:textId="77777777" w:rsidTr="008A7301">
        <w:trPr>
          <w:trHeight w:val="495"/>
        </w:trPr>
        <w:tc>
          <w:tcPr>
            <w:tcW w:w="2972" w:type="dxa"/>
            <w:vMerge/>
            <w:vAlign w:val="center"/>
          </w:tcPr>
          <w:p w14:paraId="1A47B1C3" w14:textId="77777777" w:rsidR="008A7301" w:rsidRPr="008A7301" w:rsidRDefault="008A7301" w:rsidP="00134979">
            <w:pPr>
              <w:rPr>
                <w:rFonts w:cs="Arial"/>
                <w:noProof/>
              </w:rPr>
            </w:pPr>
          </w:p>
        </w:tc>
        <w:tc>
          <w:tcPr>
            <w:tcW w:w="10773" w:type="dxa"/>
          </w:tcPr>
          <w:p w14:paraId="4B7B411C" w14:textId="77777777" w:rsidR="008A7301" w:rsidRPr="008A7301" w:rsidRDefault="008A7301" w:rsidP="00134979">
            <w:pPr>
              <w:rPr>
                <w:rFonts w:cs="Arial"/>
              </w:rPr>
            </w:pPr>
            <w:r w:rsidRPr="008A7301">
              <w:rPr>
                <w:rFonts w:cs="Arial"/>
              </w:rPr>
              <w:t>We will continue to be a partner and positive contributor within the Leeds Clean Air initiative.</w:t>
            </w:r>
          </w:p>
        </w:tc>
      </w:tr>
      <w:tr w:rsidR="008A7301" w:rsidRPr="008A7301" w14:paraId="7CF36129" w14:textId="77777777" w:rsidTr="008A7301">
        <w:trPr>
          <w:trHeight w:val="640"/>
        </w:trPr>
        <w:tc>
          <w:tcPr>
            <w:tcW w:w="2972" w:type="dxa"/>
            <w:vMerge/>
            <w:vAlign w:val="center"/>
          </w:tcPr>
          <w:p w14:paraId="75203744" w14:textId="77777777" w:rsidR="008A7301" w:rsidRPr="008A7301" w:rsidRDefault="008A7301" w:rsidP="00134979">
            <w:pPr>
              <w:rPr>
                <w:rFonts w:cs="Arial"/>
                <w:noProof/>
              </w:rPr>
            </w:pPr>
          </w:p>
        </w:tc>
        <w:tc>
          <w:tcPr>
            <w:tcW w:w="10773" w:type="dxa"/>
          </w:tcPr>
          <w:p w14:paraId="6FF52F33" w14:textId="4F158E33" w:rsidR="008A7301" w:rsidRPr="008A7301" w:rsidRDefault="008A7301" w:rsidP="00134979">
            <w:pPr>
              <w:rPr>
                <w:rFonts w:cs="Arial"/>
              </w:rPr>
            </w:pPr>
            <w:r w:rsidRPr="008A7301">
              <w:rPr>
                <w:rFonts w:cs="Arial"/>
              </w:rPr>
              <w:t xml:space="preserve">We will continue to train to respond to areas of highest environmental weather risk. </w:t>
            </w:r>
          </w:p>
        </w:tc>
      </w:tr>
      <w:tr w:rsidR="008A7301" w:rsidRPr="008A7301" w14:paraId="511DC6E7" w14:textId="77777777" w:rsidTr="008A7301">
        <w:trPr>
          <w:trHeight w:val="776"/>
        </w:trPr>
        <w:tc>
          <w:tcPr>
            <w:tcW w:w="2972" w:type="dxa"/>
            <w:vMerge w:val="restart"/>
            <w:vAlign w:val="center"/>
          </w:tcPr>
          <w:p w14:paraId="1FE369D1" w14:textId="77777777" w:rsidR="008A7301" w:rsidRPr="008A7301" w:rsidRDefault="008A7301" w:rsidP="00134979">
            <w:pPr>
              <w:rPr>
                <w:rFonts w:cs="Arial"/>
              </w:rPr>
            </w:pPr>
            <w:r w:rsidRPr="008A7301">
              <w:rPr>
                <w:rFonts w:cs="Arial"/>
                <w:noProof/>
              </w:rPr>
              <w:drawing>
                <wp:anchor distT="0" distB="0" distL="114300" distR="114300" simplePos="0" relativeHeight="251700224" behindDoc="1" locked="0" layoutInCell="1" allowOverlap="1" wp14:anchorId="06280443" wp14:editId="48383A22">
                  <wp:simplePos x="0" y="0"/>
                  <wp:positionH relativeFrom="column">
                    <wp:posOffset>-55245</wp:posOffset>
                  </wp:positionH>
                  <wp:positionV relativeFrom="paragraph">
                    <wp:posOffset>-115570</wp:posOffset>
                  </wp:positionV>
                  <wp:extent cx="1600200" cy="1536065"/>
                  <wp:effectExtent l="0" t="0" r="0" b="6985"/>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11">
                            <a:alphaModFix amt="10000"/>
                            <a:extLst>
                              <a:ext uri="{28A0092B-C50C-407E-A947-70E740481C1C}">
                                <a14:useLocalDpi xmlns:a14="http://schemas.microsoft.com/office/drawing/2010/main" val="0"/>
                              </a:ext>
                            </a:extLst>
                          </a:blip>
                          <a:srcRect/>
                          <a:stretch>
                            <a:fillRect/>
                          </a:stretch>
                        </pic:blipFill>
                        <pic:spPr bwMode="auto">
                          <a:xfrm>
                            <a:off x="0" y="0"/>
                            <a:ext cx="1600200" cy="1536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301">
              <w:rPr>
                <w:rFonts w:cs="Arial"/>
              </w:rPr>
              <w:t>We will actively look for opportunities to implement learning from the Grenfell Inquiry to improve how we respond to high rise emergencies and other foreseeable risks</w:t>
            </w:r>
            <w:r w:rsidRPr="008A7301">
              <w:rPr>
                <w:rFonts w:cs="Arial"/>
                <w:noProof/>
              </w:rPr>
              <w:t xml:space="preserve"> </w:t>
            </w:r>
          </w:p>
        </w:tc>
        <w:tc>
          <w:tcPr>
            <w:tcW w:w="10773" w:type="dxa"/>
          </w:tcPr>
          <w:p w14:paraId="725F3D95" w14:textId="1D7E2291" w:rsidR="008A7301" w:rsidRPr="008A7301" w:rsidRDefault="008A7301" w:rsidP="00134979">
            <w:pPr>
              <w:rPr>
                <w:rFonts w:cs="Arial"/>
              </w:rPr>
            </w:pPr>
            <w:r w:rsidRPr="008A7301">
              <w:rPr>
                <w:rFonts w:cs="Arial"/>
              </w:rPr>
              <w:t xml:space="preserve">We will undertake inspections of tall buildings and will continue to gather Operational Risk information in line with our Operational Training and Risk Reduction strategy. </w:t>
            </w:r>
          </w:p>
        </w:tc>
      </w:tr>
      <w:tr w:rsidR="008A7301" w:rsidRPr="008A7301" w14:paraId="67199287" w14:textId="77777777" w:rsidTr="008A7301">
        <w:trPr>
          <w:trHeight w:val="750"/>
        </w:trPr>
        <w:tc>
          <w:tcPr>
            <w:tcW w:w="2972" w:type="dxa"/>
            <w:vMerge/>
            <w:vAlign w:val="center"/>
          </w:tcPr>
          <w:p w14:paraId="7E647B42" w14:textId="77777777" w:rsidR="008A7301" w:rsidRPr="008A7301" w:rsidRDefault="008A7301" w:rsidP="00134979">
            <w:pPr>
              <w:rPr>
                <w:rFonts w:cs="Arial"/>
                <w:noProof/>
              </w:rPr>
            </w:pPr>
          </w:p>
        </w:tc>
        <w:tc>
          <w:tcPr>
            <w:tcW w:w="10773" w:type="dxa"/>
          </w:tcPr>
          <w:p w14:paraId="6FD99007" w14:textId="3BAC13FE" w:rsidR="008A7301" w:rsidRPr="008A7301" w:rsidRDefault="008A7301" w:rsidP="00134979">
            <w:pPr>
              <w:rPr>
                <w:rFonts w:cs="Arial"/>
              </w:rPr>
            </w:pPr>
            <w:r w:rsidRPr="008A7301">
              <w:rPr>
                <w:rFonts w:cs="Arial"/>
              </w:rPr>
              <w:t>We will continue to implement and train against new procedures which improve our operational effectiveness and firefighter safety.</w:t>
            </w:r>
          </w:p>
        </w:tc>
      </w:tr>
      <w:tr w:rsidR="008A7301" w:rsidRPr="008A7301" w14:paraId="5DF3DDEC" w14:textId="77777777" w:rsidTr="008A7301">
        <w:trPr>
          <w:trHeight w:val="1183"/>
        </w:trPr>
        <w:tc>
          <w:tcPr>
            <w:tcW w:w="2972" w:type="dxa"/>
            <w:vMerge/>
            <w:vAlign w:val="center"/>
          </w:tcPr>
          <w:p w14:paraId="5B172CBE" w14:textId="77777777" w:rsidR="008A7301" w:rsidRPr="008A7301" w:rsidRDefault="008A7301" w:rsidP="00134979">
            <w:pPr>
              <w:rPr>
                <w:rFonts w:cs="Arial"/>
                <w:noProof/>
              </w:rPr>
            </w:pPr>
          </w:p>
        </w:tc>
        <w:tc>
          <w:tcPr>
            <w:tcW w:w="10773" w:type="dxa"/>
          </w:tcPr>
          <w:p w14:paraId="231C5DDA" w14:textId="520E68A2" w:rsidR="008A7301" w:rsidRPr="008A7301" w:rsidRDefault="008A7301" w:rsidP="00134979">
            <w:pPr>
              <w:rPr>
                <w:rFonts w:cs="Arial"/>
              </w:rPr>
            </w:pPr>
            <w:r w:rsidRPr="008A7301">
              <w:rPr>
                <w:rFonts w:cs="Arial"/>
              </w:rPr>
              <w:t>A foreseeable risk within Leeds District will be fires in tall buildings, and we will maintain exercising programs that incorporate the learning from Grenfell and improve operational response and Fire Fighter safety.</w:t>
            </w:r>
          </w:p>
          <w:p w14:paraId="12492C18" w14:textId="77777777" w:rsidR="008A7301" w:rsidRPr="008A7301" w:rsidRDefault="008A7301" w:rsidP="00134979">
            <w:pPr>
              <w:pStyle w:val="ListParagraph"/>
              <w:spacing w:after="0"/>
              <w:rPr>
                <w:rFonts w:cs="Arial"/>
                <w:sz w:val="22"/>
              </w:rPr>
            </w:pPr>
          </w:p>
        </w:tc>
      </w:tr>
      <w:tr w:rsidR="008A7301" w:rsidRPr="008A7301" w14:paraId="1BCE3CDA" w14:textId="77777777" w:rsidTr="008A7301">
        <w:trPr>
          <w:trHeight w:val="1290"/>
        </w:trPr>
        <w:tc>
          <w:tcPr>
            <w:tcW w:w="2972" w:type="dxa"/>
            <w:vMerge w:val="restart"/>
            <w:vAlign w:val="center"/>
          </w:tcPr>
          <w:p w14:paraId="6F9588E3" w14:textId="77777777" w:rsidR="008A7301" w:rsidRPr="008A7301" w:rsidRDefault="008A7301" w:rsidP="00134979">
            <w:pPr>
              <w:rPr>
                <w:rFonts w:cs="Arial"/>
              </w:rPr>
            </w:pPr>
            <w:r w:rsidRPr="008A7301">
              <w:rPr>
                <w:rFonts w:cs="Arial"/>
                <w:noProof/>
              </w:rPr>
              <w:drawing>
                <wp:anchor distT="0" distB="0" distL="114300" distR="114300" simplePos="0" relativeHeight="251701248" behindDoc="1" locked="0" layoutInCell="1" allowOverlap="1" wp14:anchorId="301B023E" wp14:editId="1731E0D7">
                  <wp:simplePos x="0" y="0"/>
                  <wp:positionH relativeFrom="column">
                    <wp:posOffset>-45720</wp:posOffset>
                  </wp:positionH>
                  <wp:positionV relativeFrom="paragraph">
                    <wp:posOffset>-29845</wp:posOffset>
                  </wp:positionV>
                  <wp:extent cx="1590675" cy="1514475"/>
                  <wp:effectExtent l="0" t="0" r="9525" b="9525"/>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12">
                            <a:alphaModFix amt="10000"/>
                            <a:extLst>
                              <a:ext uri="{28A0092B-C50C-407E-A947-70E740481C1C}">
                                <a14:useLocalDpi xmlns:a14="http://schemas.microsoft.com/office/drawing/2010/main" val="0"/>
                              </a:ext>
                            </a:extLst>
                          </a:blip>
                          <a:srcRect/>
                          <a:stretch>
                            <a:fillRect/>
                          </a:stretch>
                        </pic:blipFill>
                        <pic:spPr bwMode="auto">
                          <a:xfrm>
                            <a:off x="0" y="0"/>
                            <a:ext cx="159067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301">
              <w:rPr>
                <w:rFonts w:cs="Arial"/>
              </w:rPr>
              <w:t>We will continue working towards delivering a more inclusive workforce, which reflects and serves the needs of the diverse communities of West Yorkshire</w:t>
            </w:r>
            <w:r w:rsidRPr="008A7301">
              <w:rPr>
                <w:rFonts w:cs="Arial"/>
                <w:noProof/>
              </w:rPr>
              <w:t xml:space="preserve"> </w:t>
            </w:r>
          </w:p>
        </w:tc>
        <w:tc>
          <w:tcPr>
            <w:tcW w:w="10773" w:type="dxa"/>
          </w:tcPr>
          <w:p w14:paraId="56B16AB8" w14:textId="14A6DB20" w:rsidR="008A7301" w:rsidRPr="008A7301" w:rsidRDefault="008A7301" w:rsidP="00134979">
            <w:pPr>
              <w:rPr>
                <w:rFonts w:cs="Arial"/>
              </w:rPr>
            </w:pPr>
            <w:r w:rsidRPr="008A7301">
              <w:rPr>
                <w:rFonts w:cs="Arial"/>
              </w:rPr>
              <w:t xml:space="preserve">We will continue to positively represent the service when working within all communities in line with the community engagement strategy. </w:t>
            </w:r>
          </w:p>
        </w:tc>
      </w:tr>
      <w:tr w:rsidR="008A7301" w:rsidRPr="008A7301" w14:paraId="4B040C96" w14:textId="77777777" w:rsidTr="008A7301">
        <w:trPr>
          <w:trHeight w:val="274"/>
        </w:trPr>
        <w:tc>
          <w:tcPr>
            <w:tcW w:w="2972" w:type="dxa"/>
            <w:vMerge/>
            <w:vAlign w:val="center"/>
          </w:tcPr>
          <w:p w14:paraId="5201378F" w14:textId="77777777" w:rsidR="008A7301" w:rsidRPr="008A7301" w:rsidRDefault="008A7301" w:rsidP="00134979">
            <w:pPr>
              <w:rPr>
                <w:rFonts w:cs="Arial"/>
                <w:noProof/>
              </w:rPr>
            </w:pPr>
          </w:p>
        </w:tc>
        <w:tc>
          <w:tcPr>
            <w:tcW w:w="10773" w:type="dxa"/>
          </w:tcPr>
          <w:p w14:paraId="59BBC1E3" w14:textId="702B8792" w:rsidR="008A7301" w:rsidRPr="008A7301" w:rsidRDefault="008A7301" w:rsidP="00134979">
            <w:pPr>
              <w:rPr>
                <w:rFonts w:cs="Arial"/>
              </w:rPr>
            </w:pPr>
            <w:r w:rsidRPr="008A7301">
              <w:rPr>
                <w:rFonts w:cs="Arial"/>
              </w:rPr>
              <w:t>We will maintain an assurance of staffing within Leeds, and restructure District Team references to ensure capacity and resource where they are needed the most.</w:t>
            </w:r>
          </w:p>
          <w:p w14:paraId="5E2604A1" w14:textId="77777777" w:rsidR="008A7301" w:rsidRPr="008A7301" w:rsidRDefault="008A7301" w:rsidP="0045262E">
            <w:pPr>
              <w:rPr>
                <w:rFonts w:cs="Arial"/>
              </w:rPr>
            </w:pPr>
          </w:p>
          <w:p w14:paraId="5EE32F1D" w14:textId="481EBC2E" w:rsidR="008A7301" w:rsidRPr="008A7301" w:rsidRDefault="008A7301" w:rsidP="0045262E">
            <w:pPr>
              <w:rPr>
                <w:rFonts w:cs="Arial"/>
              </w:rPr>
            </w:pPr>
          </w:p>
        </w:tc>
      </w:tr>
    </w:tbl>
    <w:p w14:paraId="78C9FBF7" w14:textId="77777777" w:rsidR="00540636" w:rsidRDefault="00000000"/>
    <w:sectPr w:rsidR="00540636" w:rsidSect="00D200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1B"/>
    <w:rsid w:val="00002D7A"/>
    <w:rsid w:val="00006F9C"/>
    <w:rsid w:val="0000722F"/>
    <w:rsid w:val="000104F4"/>
    <w:rsid w:val="00026B5F"/>
    <w:rsid w:val="000507AA"/>
    <w:rsid w:val="000A7FA0"/>
    <w:rsid w:val="000B25A0"/>
    <w:rsid w:val="000C350A"/>
    <w:rsid w:val="000E1ADA"/>
    <w:rsid w:val="000E4D80"/>
    <w:rsid w:val="000F5BD9"/>
    <w:rsid w:val="00100062"/>
    <w:rsid w:val="00103DA2"/>
    <w:rsid w:val="00121912"/>
    <w:rsid w:val="00136B70"/>
    <w:rsid w:val="00143694"/>
    <w:rsid w:val="00166928"/>
    <w:rsid w:val="00166AB2"/>
    <w:rsid w:val="001752B2"/>
    <w:rsid w:val="001778AE"/>
    <w:rsid w:val="00190F16"/>
    <w:rsid w:val="0019384A"/>
    <w:rsid w:val="001A0848"/>
    <w:rsid w:val="001C16DD"/>
    <w:rsid w:val="001C2363"/>
    <w:rsid w:val="001D79AB"/>
    <w:rsid w:val="001F1027"/>
    <w:rsid w:val="001F2714"/>
    <w:rsid w:val="001F70AD"/>
    <w:rsid w:val="00203AB0"/>
    <w:rsid w:val="0020452B"/>
    <w:rsid w:val="0021190A"/>
    <w:rsid w:val="00212607"/>
    <w:rsid w:val="00214944"/>
    <w:rsid w:val="002164CB"/>
    <w:rsid w:val="002167EC"/>
    <w:rsid w:val="0023698E"/>
    <w:rsid w:val="002374EE"/>
    <w:rsid w:val="00242447"/>
    <w:rsid w:val="00253509"/>
    <w:rsid w:val="00261FA8"/>
    <w:rsid w:val="00272AE9"/>
    <w:rsid w:val="0029399C"/>
    <w:rsid w:val="002B3F78"/>
    <w:rsid w:val="002B6CE7"/>
    <w:rsid w:val="002C3C2D"/>
    <w:rsid w:val="002E1CBB"/>
    <w:rsid w:val="002F2143"/>
    <w:rsid w:val="0031021F"/>
    <w:rsid w:val="0032222C"/>
    <w:rsid w:val="00322FEE"/>
    <w:rsid w:val="00325A8F"/>
    <w:rsid w:val="00336AEA"/>
    <w:rsid w:val="00355FFF"/>
    <w:rsid w:val="00356BDB"/>
    <w:rsid w:val="003641F1"/>
    <w:rsid w:val="003674AE"/>
    <w:rsid w:val="00375D51"/>
    <w:rsid w:val="00384C19"/>
    <w:rsid w:val="0038527C"/>
    <w:rsid w:val="003926F5"/>
    <w:rsid w:val="00395F74"/>
    <w:rsid w:val="003A1CFA"/>
    <w:rsid w:val="003C4F8D"/>
    <w:rsid w:val="003E76E0"/>
    <w:rsid w:val="004009FF"/>
    <w:rsid w:val="004072B7"/>
    <w:rsid w:val="00420400"/>
    <w:rsid w:val="00420BB8"/>
    <w:rsid w:val="00425F8B"/>
    <w:rsid w:val="00447876"/>
    <w:rsid w:val="0045262E"/>
    <w:rsid w:val="004A0F05"/>
    <w:rsid w:val="004B252D"/>
    <w:rsid w:val="004C15D3"/>
    <w:rsid w:val="004D13A0"/>
    <w:rsid w:val="004D3A77"/>
    <w:rsid w:val="004E1C04"/>
    <w:rsid w:val="004F6F5E"/>
    <w:rsid w:val="005135E5"/>
    <w:rsid w:val="00524664"/>
    <w:rsid w:val="0053460A"/>
    <w:rsid w:val="005674E5"/>
    <w:rsid w:val="00584AE0"/>
    <w:rsid w:val="00593E11"/>
    <w:rsid w:val="00595D52"/>
    <w:rsid w:val="005A523F"/>
    <w:rsid w:val="005B1FB0"/>
    <w:rsid w:val="005B527A"/>
    <w:rsid w:val="005D1337"/>
    <w:rsid w:val="005F7E36"/>
    <w:rsid w:val="00621681"/>
    <w:rsid w:val="00627598"/>
    <w:rsid w:val="00630225"/>
    <w:rsid w:val="00631722"/>
    <w:rsid w:val="00631D0E"/>
    <w:rsid w:val="00673467"/>
    <w:rsid w:val="006974C9"/>
    <w:rsid w:val="00697600"/>
    <w:rsid w:val="006B51D3"/>
    <w:rsid w:val="006B7FF1"/>
    <w:rsid w:val="006C19AC"/>
    <w:rsid w:val="006D2590"/>
    <w:rsid w:val="006F303F"/>
    <w:rsid w:val="00706F74"/>
    <w:rsid w:val="00707CB3"/>
    <w:rsid w:val="00712151"/>
    <w:rsid w:val="00745DA5"/>
    <w:rsid w:val="00753E31"/>
    <w:rsid w:val="007649E9"/>
    <w:rsid w:val="007711B5"/>
    <w:rsid w:val="007B54B8"/>
    <w:rsid w:val="00812020"/>
    <w:rsid w:val="00826194"/>
    <w:rsid w:val="00831D1C"/>
    <w:rsid w:val="00840222"/>
    <w:rsid w:val="00867DC3"/>
    <w:rsid w:val="008714A9"/>
    <w:rsid w:val="00874575"/>
    <w:rsid w:val="008774CF"/>
    <w:rsid w:val="0088110D"/>
    <w:rsid w:val="00896EF5"/>
    <w:rsid w:val="008A301A"/>
    <w:rsid w:val="008A7301"/>
    <w:rsid w:val="008C074D"/>
    <w:rsid w:val="008C4821"/>
    <w:rsid w:val="008D0B15"/>
    <w:rsid w:val="008D495D"/>
    <w:rsid w:val="008D6F80"/>
    <w:rsid w:val="009017DF"/>
    <w:rsid w:val="00905C50"/>
    <w:rsid w:val="00906511"/>
    <w:rsid w:val="00934A63"/>
    <w:rsid w:val="00941EC7"/>
    <w:rsid w:val="00947F48"/>
    <w:rsid w:val="009501DA"/>
    <w:rsid w:val="00954CB5"/>
    <w:rsid w:val="00971CB0"/>
    <w:rsid w:val="00980155"/>
    <w:rsid w:val="0098619C"/>
    <w:rsid w:val="0098678E"/>
    <w:rsid w:val="0099552D"/>
    <w:rsid w:val="009A4650"/>
    <w:rsid w:val="009A593A"/>
    <w:rsid w:val="009A6706"/>
    <w:rsid w:val="009A7911"/>
    <w:rsid w:val="009D6E08"/>
    <w:rsid w:val="00A02CFD"/>
    <w:rsid w:val="00A06826"/>
    <w:rsid w:val="00A13126"/>
    <w:rsid w:val="00A178B3"/>
    <w:rsid w:val="00A22BE0"/>
    <w:rsid w:val="00A56D0E"/>
    <w:rsid w:val="00A63CF4"/>
    <w:rsid w:val="00A75825"/>
    <w:rsid w:val="00A77E68"/>
    <w:rsid w:val="00A91221"/>
    <w:rsid w:val="00AA042A"/>
    <w:rsid w:val="00AA169A"/>
    <w:rsid w:val="00AB7BB9"/>
    <w:rsid w:val="00AC66B3"/>
    <w:rsid w:val="00AD3CE5"/>
    <w:rsid w:val="00AE5799"/>
    <w:rsid w:val="00AF3844"/>
    <w:rsid w:val="00AF42C3"/>
    <w:rsid w:val="00B23282"/>
    <w:rsid w:val="00B31966"/>
    <w:rsid w:val="00B44A6A"/>
    <w:rsid w:val="00B50254"/>
    <w:rsid w:val="00B75E88"/>
    <w:rsid w:val="00BA7573"/>
    <w:rsid w:val="00BB5ED4"/>
    <w:rsid w:val="00BC2E93"/>
    <w:rsid w:val="00BC60F9"/>
    <w:rsid w:val="00BD29EC"/>
    <w:rsid w:val="00BD315E"/>
    <w:rsid w:val="00BD72D6"/>
    <w:rsid w:val="00BF67B0"/>
    <w:rsid w:val="00C14FC4"/>
    <w:rsid w:val="00C20DD9"/>
    <w:rsid w:val="00C4290F"/>
    <w:rsid w:val="00C46779"/>
    <w:rsid w:val="00C5564C"/>
    <w:rsid w:val="00C601F3"/>
    <w:rsid w:val="00C720DE"/>
    <w:rsid w:val="00C7704D"/>
    <w:rsid w:val="00C812DB"/>
    <w:rsid w:val="00C82AD3"/>
    <w:rsid w:val="00C835F1"/>
    <w:rsid w:val="00C90BEA"/>
    <w:rsid w:val="00CA32F4"/>
    <w:rsid w:val="00CC6C0A"/>
    <w:rsid w:val="00CE30EC"/>
    <w:rsid w:val="00CE38E3"/>
    <w:rsid w:val="00CE6006"/>
    <w:rsid w:val="00CF7F49"/>
    <w:rsid w:val="00D0087A"/>
    <w:rsid w:val="00D07C7F"/>
    <w:rsid w:val="00D2001B"/>
    <w:rsid w:val="00D204D1"/>
    <w:rsid w:val="00D20915"/>
    <w:rsid w:val="00D24B3C"/>
    <w:rsid w:val="00D24DC9"/>
    <w:rsid w:val="00D45545"/>
    <w:rsid w:val="00D72FCA"/>
    <w:rsid w:val="00D7303E"/>
    <w:rsid w:val="00D741FD"/>
    <w:rsid w:val="00D8593C"/>
    <w:rsid w:val="00D92323"/>
    <w:rsid w:val="00DB6DFC"/>
    <w:rsid w:val="00DD52A7"/>
    <w:rsid w:val="00DD5AF2"/>
    <w:rsid w:val="00DE5947"/>
    <w:rsid w:val="00DF4D68"/>
    <w:rsid w:val="00DF5494"/>
    <w:rsid w:val="00E111B2"/>
    <w:rsid w:val="00E35FCA"/>
    <w:rsid w:val="00E52BAE"/>
    <w:rsid w:val="00E61D5C"/>
    <w:rsid w:val="00E64FD5"/>
    <w:rsid w:val="00E67BFC"/>
    <w:rsid w:val="00E720BE"/>
    <w:rsid w:val="00E8548E"/>
    <w:rsid w:val="00EA2589"/>
    <w:rsid w:val="00EC2A50"/>
    <w:rsid w:val="00EC76E2"/>
    <w:rsid w:val="00ED13C9"/>
    <w:rsid w:val="00ED7E3B"/>
    <w:rsid w:val="00EE5AC2"/>
    <w:rsid w:val="00F01F66"/>
    <w:rsid w:val="00F1396C"/>
    <w:rsid w:val="00F17AED"/>
    <w:rsid w:val="00F329E8"/>
    <w:rsid w:val="00F43487"/>
    <w:rsid w:val="00F44428"/>
    <w:rsid w:val="00F62FAC"/>
    <w:rsid w:val="00F80BA7"/>
    <w:rsid w:val="00FA0005"/>
    <w:rsid w:val="00FA2B42"/>
    <w:rsid w:val="00FA3A77"/>
    <w:rsid w:val="00FB1485"/>
    <w:rsid w:val="00FC3D83"/>
    <w:rsid w:val="00FC4EA9"/>
    <w:rsid w:val="00FE73A5"/>
    <w:rsid w:val="00FF4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F3E3"/>
  <w15:chartTrackingRefBased/>
  <w15:docId w15:val="{13363DB2-0BB9-4107-A81E-1E6C8EEB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001B"/>
    <w:pPr>
      <w:spacing w:after="220" w:line="240" w:lineRule="auto"/>
      <w:contextualSpacing/>
    </w:pPr>
    <w:rPr>
      <w:rFonts w:ascii="Arial" w:hAnsi="Arial"/>
      <w:sz w:val="24"/>
    </w:rPr>
  </w:style>
  <w:style w:type="paragraph" w:customStyle="1" w:styleId="Default">
    <w:name w:val="Default"/>
    <w:basedOn w:val="Normal"/>
    <w:rsid w:val="00D2001B"/>
    <w:pPr>
      <w:autoSpaceDE w:val="0"/>
      <w:autoSpaceDN w:val="0"/>
      <w:spacing w:after="0" w:line="240" w:lineRule="auto"/>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621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861</Words>
  <Characters>4914</Characters>
  <Application>Microsoft Office Word</Application>
  <DocSecurity>0</DocSecurity>
  <Lines>40</Lines>
  <Paragraphs>11</Paragraphs>
  <ScaleCrop>false</ScaleCrop>
  <Company>West Yorkshire Fire and Rescue</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May</dc:creator>
  <cp:keywords/>
  <dc:description/>
  <cp:lastModifiedBy>Julie Shaw</cp:lastModifiedBy>
  <cp:revision>2</cp:revision>
  <cp:lastPrinted>2022-03-01T20:14:00Z</cp:lastPrinted>
  <dcterms:created xsi:type="dcterms:W3CDTF">2023-07-04T14:25:00Z</dcterms:created>
  <dcterms:modified xsi:type="dcterms:W3CDTF">2023-07-04T14:25:00Z</dcterms:modified>
</cp:coreProperties>
</file>